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75BC303B" w14:textId="77777777" w:rsidR="0062133F" w:rsidRPr="0061758E" w:rsidRDefault="007F6D4F" w:rsidP="0062133F">
      <w:pPr>
        <w:pBdr>
          <w:top w:val="nil"/>
          <w:left w:val="nil"/>
          <w:bottom w:val="nil"/>
          <w:right w:val="nil"/>
          <w:between w:val="nil"/>
        </w:pBdr>
        <w:spacing w:before="240" w:after="240" w:line="276" w:lineRule="auto"/>
        <w:jc w:val="center"/>
        <w:rPr>
          <w:rFonts w:ascii="Arial" w:eastAsia="Century Gothic" w:hAnsi="Arial" w:cs="Arial"/>
          <w:b/>
          <w:color w:val="000000"/>
          <w:lang w:val="es-ES_tradnl"/>
        </w:rPr>
      </w:pPr>
      <w:r w:rsidRPr="0061758E">
        <w:rPr>
          <w:rFonts w:ascii="Arial" w:eastAsia="Century Gothic" w:hAnsi="Arial" w:cs="Arial"/>
          <w:b/>
          <w:color w:val="000000"/>
          <w:lang w:val="es-ES_tradnl"/>
        </w:rPr>
        <w:t>TEXTO APROBADO EN LA COMISION PRIMERA DE LA HONORABLE CÁMARA DE REP</w:t>
      </w:r>
      <w:r w:rsidR="00576838" w:rsidRPr="0061758E">
        <w:rPr>
          <w:rFonts w:ascii="Arial" w:eastAsia="Century Gothic" w:hAnsi="Arial" w:cs="Arial"/>
          <w:b/>
          <w:color w:val="000000"/>
          <w:lang w:val="es-ES_tradnl"/>
        </w:rPr>
        <w:t xml:space="preserve">RESENTANTES EN PRIMER DEBATE </w:t>
      </w:r>
    </w:p>
    <w:p w14:paraId="30BE77CD" w14:textId="0B8728EB" w:rsidR="0061758E" w:rsidRDefault="00576838" w:rsidP="00D74174">
      <w:pPr>
        <w:pBdr>
          <w:top w:val="nil"/>
          <w:left w:val="nil"/>
          <w:bottom w:val="nil"/>
          <w:right w:val="nil"/>
          <w:between w:val="nil"/>
        </w:pBdr>
        <w:spacing w:before="240" w:after="240" w:line="276" w:lineRule="auto"/>
        <w:jc w:val="center"/>
        <w:rPr>
          <w:rFonts w:ascii="Arial" w:eastAsia="Calibri" w:hAnsi="Arial" w:cs="Arial"/>
          <w:bCs/>
        </w:rPr>
      </w:pPr>
      <w:r w:rsidRPr="0061758E">
        <w:rPr>
          <w:rFonts w:ascii="Arial" w:eastAsia="Century Gothic" w:hAnsi="Arial" w:cs="Arial"/>
          <w:b/>
          <w:color w:val="000000"/>
          <w:lang w:val="es-ES_tradnl"/>
        </w:rPr>
        <w:t xml:space="preserve">AL </w:t>
      </w:r>
      <w:r w:rsidR="0062133F" w:rsidRPr="0061758E">
        <w:rPr>
          <w:rFonts w:ascii="Arial" w:hAnsi="Arial" w:cs="Arial"/>
          <w:b/>
          <w:bCs/>
          <w:shd w:val="clear" w:color="auto" w:fill="FFFFFF"/>
        </w:rPr>
        <w:t xml:space="preserve">PROYECTO DE LEY No. </w:t>
      </w:r>
      <w:r w:rsidR="0061758E" w:rsidRPr="0061758E">
        <w:rPr>
          <w:rFonts w:ascii="Arial" w:hAnsi="Arial" w:cs="Arial"/>
          <w:b/>
          <w:bCs/>
        </w:rPr>
        <w:t xml:space="preserve"> 023 DE 2021 CÁMARA, ACUMULADO CON EL PROYECTO DE LEY 202 DE 2021 CÁMARA “POR LA CUAL SE REGLAMENTA EL PARÁGRAFO 1 DEL ARTÍCULO 14 DE LEY 1751 DE 2015, SE PROPENDE POR EL ACCESO AL DERECHO FUNDAMENTAL A LA SALUD Y</w:t>
      </w:r>
      <w:r w:rsidR="00D74174">
        <w:rPr>
          <w:rFonts w:ascii="Arial" w:hAnsi="Arial" w:cs="Arial"/>
          <w:b/>
          <w:bCs/>
        </w:rPr>
        <w:t xml:space="preserve"> SE DICTAN OTRAS DISPOSICIONES”</w:t>
      </w:r>
    </w:p>
    <w:p w14:paraId="6DB9DA35" w14:textId="77777777" w:rsidR="00D74174" w:rsidRPr="00D74174" w:rsidRDefault="00D74174" w:rsidP="00D74174">
      <w:pPr>
        <w:pBdr>
          <w:top w:val="nil"/>
          <w:left w:val="nil"/>
          <w:bottom w:val="nil"/>
          <w:right w:val="nil"/>
          <w:between w:val="nil"/>
        </w:pBdr>
        <w:spacing w:before="240" w:after="240" w:line="276" w:lineRule="auto"/>
        <w:jc w:val="center"/>
        <w:rPr>
          <w:rFonts w:ascii="Arial" w:eastAsia="Calibri" w:hAnsi="Arial" w:cs="Arial"/>
          <w:bCs/>
        </w:rPr>
      </w:pPr>
    </w:p>
    <w:p w14:paraId="1606C107"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EL CONGRESO DE LA REPÚBLICA DE COLOMBIA</w:t>
      </w:r>
    </w:p>
    <w:p w14:paraId="1C27DCF2" w14:textId="77777777" w:rsidR="0061758E" w:rsidRPr="0093012B" w:rsidRDefault="0061758E" w:rsidP="0061758E">
      <w:pPr>
        <w:jc w:val="center"/>
        <w:rPr>
          <w:rFonts w:ascii="Arial" w:eastAsia="Times New Roman" w:hAnsi="Arial" w:cs="Arial"/>
        </w:rPr>
      </w:pPr>
    </w:p>
    <w:p w14:paraId="4053FA9E"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DECRETA:</w:t>
      </w:r>
    </w:p>
    <w:p w14:paraId="70C25CE8" w14:textId="77777777" w:rsidR="0061758E" w:rsidRPr="0093012B" w:rsidRDefault="0061758E" w:rsidP="0061758E">
      <w:pPr>
        <w:jc w:val="center"/>
        <w:rPr>
          <w:rFonts w:ascii="Arial" w:eastAsia="Times New Roman" w:hAnsi="Arial" w:cs="Arial"/>
        </w:rPr>
      </w:pPr>
    </w:p>
    <w:p w14:paraId="6B73247E"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CAPÍTULO I</w:t>
      </w:r>
    </w:p>
    <w:p w14:paraId="3B4BEB7D"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DISPOSICIONES GENERALES</w:t>
      </w:r>
    </w:p>
    <w:p w14:paraId="6A95DBAC" w14:textId="77777777" w:rsidR="0061758E" w:rsidRPr="0093012B" w:rsidRDefault="0061758E" w:rsidP="0061758E">
      <w:pPr>
        <w:jc w:val="both"/>
        <w:rPr>
          <w:rFonts w:ascii="Arial" w:eastAsia="Times New Roman" w:hAnsi="Arial" w:cs="Arial"/>
        </w:rPr>
      </w:pPr>
    </w:p>
    <w:p w14:paraId="12193758"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i/>
          <w:iCs/>
          <w:color w:val="000000"/>
        </w:rPr>
        <w:t>Artículo 1°. Objeto de la ley.</w:t>
      </w:r>
      <w:r w:rsidRPr="0093012B">
        <w:rPr>
          <w:rFonts w:ascii="Arial" w:eastAsia="Times New Roman" w:hAnsi="Arial" w:cs="Arial"/>
          <w:color w:val="000000"/>
        </w:rPr>
        <w:t xml:space="preserve"> La presente ley tiene por objeto definir las sanciones penales y disciplinarias, articuladas con el control fiscal, en los casos de negación, retraso u obstaculización de los servicios que comprenden el derecho fundamental a la salud, de los miembros de las Juntas Directivas, los Representantes Legales y demás personas que contribuyan a la misma, de las Entidades Promotoras de Salud, Entidades Administradoras de Planes de Beneficios e Instituciones Prestadoras de Servicios de Salud del Sistema General de Seguridad Social en Salud o de las entidades exceptuadas. De igual forma, busca eliminar barreras de acceso a la atención en salud y fortalecer los mecanismos de vigilancia y control para garantizar el goce efectivo del derecho fundamental a la salud.</w:t>
      </w:r>
    </w:p>
    <w:p w14:paraId="6C6CE6FC" w14:textId="77777777" w:rsidR="0061758E" w:rsidRPr="0093012B" w:rsidRDefault="0061758E" w:rsidP="0061758E">
      <w:pPr>
        <w:jc w:val="both"/>
        <w:rPr>
          <w:rFonts w:ascii="Arial" w:eastAsia="Times New Roman" w:hAnsi="Arial" w:cs="Arial"/>
        </w:rPr>
      </w:pPr>
    </w:p>
    <w:p w14:paraId="28E63E58"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CAPÍTULO II</w:t>
      </w:r>
    </w:p>
    <w:p w14:paraId="23F285EB" w14:textId="77777777" w:rsidR="0061758E" w:rsidRPr="0093012B" w:rsidRDefault="0061758E" w:rsidP="0061758E">
      <w:pPr>
        <w:spacing w:before="57"/>
        <w:jc w:val="center"/>
        <w:rPr>
          <w:rFonts w:ascii="Arial" w:eastAsia="Times New Roman" w:hAnsi="Arial" w:cs="Arial"/>
        </w:rPr>
      </w:pPr>
      <w:r w:rsidRPr="0093012B">
        <w:rPr>
          <w:rFonts w:ascii="Arial" w:eastAsia="Times New Roman" w:hAnsi="Arial" w:cs="Arial"/>
          <w:b/>
          <w:bCs/>
          <w:color w:val="000000"/>
        </w:rPr>
        <w:t>MECANISMOS PARA GARANTIZAR EL ACCESO A LA ATENCIÓN DE  URGENCIAS EN SALUD Y EL PLAN DE BENEFICIOS EN SALUD</w:t>
      </w:r>
    </w:p>
    <w:p w14:paraId="2A085AF2" w14:textId="77777777" w:rsidR="0061758E" w:rsidRPr="0093012B" w:rsidRDefault="0061758E" w:rsidP="0061758E">
      <w:pPr>
        <w:jc w:val="both"/>
        <w:rPr>
          <w:rFonts w:ascii="Arial" w:eastAsia="Times New Roman" w:hAnsi="Arial" w:cs="Arial"/>
        </w:rPr>
      </w:pPr>
    </w:p>
    <w:p w14:paraId="1D95AFD6" w14:textId="77777777" w:rsidR="0061758E" w:rsidRPr="0093012B" w:rsidRDefault="0061758E" w:rsidP="0061758E">
      <w:pPr>
        <w:spacing w:before="57"/>
        <w:jc w:val="both"/>
        <w:rPr>
          <w:rFonts w:ascii="Arial" w:eastAsia="Times New Roman" w:hAnsi="Arial" w:cs="Arial"/>
        </w:rPr>
      </w:pPr>
      <w:r w:rsidRPr="0093012B">
        <w:rPr>
          <w:rFonts w:ascii="Arial" w:eastAsia="Times New Roman" w:hAnsi="Arial" w:cs="Arial"/>
          <w:b/>
          <w:bCs/>
          <w:i/>
          <w:iCs/>
          <w:color w:val="000000"/>
        </w:rPr>
        <w:t>Artículo 2°. Delitos contra la salud.</w:t>
      </w:r>
      <w:r w:rsidRPr="0093012B">
        <w:rPr>
          <w:rFonts w:ascii="Arial" w:eastAsia="Times New Roman" w:hAnsi="Arial" w:cs="Arial"/>
          <w:color w:val="000000"/>
        </w:rPr>
        <w:t xml:space="preserve"> Adiciónense tres (3) artículos al Capítulo Séptimo del Título I, del Libro Segundo del Código Penal, contenido en la Ley 599 de 2000, así:</w:t>
      </w:r>
    </w:p>
    <w:p w14:paraId="128767E2" w14:textId="77777777" w:rsidR="0061758E" w:rsidRPr="0093012B" w:rsidRDefault="0061758E" w:rsidP="0061758E">
      <w:pPr>
        <w:jc w:val="both"/>
        <w:rPr>
          <w:rFonts w:ascii="Arial" w:eastAsia="Times New Roman" w:hAnsi="Arial" w:cs="Arial"/>
        </w:rPr>
      </w:pPr>
    </w:p>
    <w:p w14:paraId="6FA8F2FC" w14:textId="749DB4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b/>
          <w:bCs/>
          <w:i/>
          <w:iCs/>
          <w:color w:val="000000"/>
        </w:rPr>
        <w:t>Artículo 131A. Atención de urgencia.</w:t>
      </w:r>
      <w:r w:rsidRPr="0093012B">
        <w:rPr>
          <w:rFonts w:ascii="Arial" w:eastAsia="Times New Roman" w:hAnsi="Arial" w:cs="Arial"/>
          <w:color w:val="000000"/>
        </w:rPr>
        <w:t xml:space="preserve"> </w:t>
      </w:r>
      <w:r w:rsidRPr="0093012B">
        <w:rPr>
          <w:rFonts w:ascii="Arial" w:eastAsia="Times New Roman" w:hAnsi="Arial" w:cs="Arial"/>
          <w:i/>
          <w:iCs/>
          <w:color w:val="000000"/>
        </w:rPr>
        <w:t>El que niegue, retrase u obstaculice el acceso a servicios de salud, cuando se trate de atención de urgencia</w:t>
      </w:r>
      <w:r w:rsidR="0068320C">
        <w:rPr>
          <w:rFonts w:ascii="Arial" w:eastAsia="Times New Roman" w:hAnsi="Arial" w:cs="Arial"/>
          <w:i/>
          <w:iCs/>
          <w:color w:val="000000"/>
        </w:rPr>
        <w:t xml:space="preserve"> vital, entendida como toda condición clínica que implique riesgo de muerte o de secuela funcional grave, sin perjuicio de las sanciones administrativas a las que hubiere lugar,  incurrirá </w:t>
      </w:r>
      <w:r w:rsidRPr="0093012B">
        <w:rPr>
          <w:rFonts w:ascii="Arial" w:eastAsia="Times New Roman" w:hAnsi="Arial" w:cs="Arial"/>
          <w:i/>
          <w:iCs/>
          <w:color w:val="000000"/>
        </w:rPr>
        <w:t>en prisión de cuarenta y ocho (48) meses a noventa y seis (96) meses.</w:t>
      </w:r>
    </w:p>
    <w:p w14:paraId="4B29E48A" w14:textId="77777777" w:rsidR="0068320C" w:rsidRDefault="0068320C" w:rsidP="0061758E">
      <w:pPr>
        <w:spacing w:before="57"/>
        <w:ind w:left="720"/>
        <w:jc w:val="both"/>
        <w:rPr>
          <w:rFonts w:ascii="Arial" w:eastAsia="Times New Roman" w:hAnsi="Arial" w:cs="Arial"/>
          <w:i/>
          <w:iCs/>
          <w:color w:val="000000"/>
        </w:rPr>
      </w:pPr>
    </w:p>
    <w:p w14:paraId="77332F38" w14:textId="777777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i/>
          <w:iCs/>
          <w:color w:val="000000"/>
        </w:rPr>
        <w:t>Cuando el servicio de atención inicial de urgencias se niegue, retrase u obstaculice por omisión, será responsable el Jefe, Director o Coordinador de la Unidad de urgencias, o aquella persona que de acuerdo con la normatividad interna de la Institución Prestadora de Servicios de Salud tenga la función de tomar las medidas necesarias, tendientes a garantizar la adecuada y permanente prestación del servicio de salud</w:t>
      </w:r>
      <w:r w:rsidRPr="0093012B">
        <w:rPr>
          <w:rFonts w:ascii="Arial" w:eastAsia="Times New Roman" w:hAnsi="Arial" w:cs="Arial"/>
          <w:color w:val="000000"/>
        </w:rPr>
        <w:t>.</w:t>
      </w:r>
    </w:p>
    <w:p w14:paraId="01A77048" w14:textId="77777777" w:rsidR="0061758E" w:rsidRPr="0093012B" w:rsidRDefault="0061758E" w:rsidP="0061758E">
      <w:pPr>
        <w:jc w:val="both"/>
        <w:rPr>
          <w:rFonts w:ascii="Arial" w:eastAsia="Times New Roman" w:hAnsi="Arial" w:cs="Arial"/>
        </w:rPr>
      </w:pPr>
    </w:p>
    <w:p w14:paraId="0F8B343B" w14:textId="509AEE8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b/>
          <w:bCs/>
          <w:i/>
          <w:iCs/>
          <w:color w:val="000000"/>
        </w:rPr>
        <w:t>Artículo 131B. Negativa, retraso u obstaculización de acceso a servicios de salud.</w:t>
      </w:r>
      <w:r w:rsidRPr="0093012B">
        <w:rPr>
          <w:rFonts w:ascii="Arial" w:eastAsia="Times New Roman" w:hAnsi="Arial" w:cs="Arial"/>
          <w:i/>
          <w:iCs/>
          <w:color w:val="000000"/>
        </w:rPr>
        <w:t xml:space="preserve"> El que niegue, retrase, u obstaculice el acceso a servicios o tecnologías contemplados en los planes obligatorios de salud, o no excluidos expresamente, </w:t>
      </w:r>
      <w:r w:rsidR="0068320C">
        <w:rPr>
          <w:rFonts w:ascii="Arial" w:eastAsia="Times New Roman" w:hAnsi="Arial" w:cs="Arial"/>
          <w:i/>
          <w:iCs/>
          <w:color w:val="000000"/>
        </w:rPr>
        <w:t xml:space="preserve">sin perjuicio de las sanciones administrativas a las que hubiere lugar, </w:t>
      </w:r>
      <w:r w:rsidRPr="0093012B">
        <w:rPr>
          <w:rFonts w:ascii="Arial" w:eastAsia="Times New Roman" w:hAnsi="Arial" w:cs="Arial"/>
          <w:i/>
          <w:iCs/>
          <w:color w:val="000000"/>
        </w:rPr>
        <w:t>incurrirá en prisión de treinta y dos (32) meses a setenta y dos (72) meses. </w:t>
      </w:r>
    </w:p>
    <w:p w14:paraId="6A5F6624" w14:textId="77777777" w:rsidR="0061758E" w:rsidRPr="0093012B" w:rsidRDefault="0061758E" w:rsidP="0061758E">
      <w:pPr>
        <w:jc w:val="both"/>
        <w:rPr>
          <w:rFonts w:ascii="Arial" w:eastAsia="Times New Roman" w:hAnsi="Arial" w:cs="Arial"/>
        </w:rPr>
      </w:pPr>
    </w:p>
    <w:p w14:paraId="68DE6CF2" w14:textId="777777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i/>
          <w:iCs/>
          <w:color w:val="000000"/>
        </w:rPr>
        <w:t>Cuando el servicio o tecnología se niegue, retrase u obstaculice por omisión, serán responsables los miembros de la Junta Directiva, los Representantes Legales y demás personas que contribuyan a la misma, de las Entidades Promotoras de Salud, Entidades Administradoras de Planes de Beneficios e Instituciones Prestadoras de Servicios de Salud del Sistema General de Seguridad Social en Salud o de las entidades exceptuadas.</w:t>
      </w:r>
    </w:p>
    <w:p w14:paraId="38067DCB" w14:textId="77777777" w:rsidR="0061758E" w:rsidRPr="0093012B" w:rsidRDefault="0061758E" w:rsidP="0061758E">
      <w:pPr>
        <w:jc w:val="both"/>
        <w:rPr>
          <w:rFonts w:ascii="Arial" w:eastAsia="Times New Roman" w:hAnsi="Arial" w:cs="Arial"/>
        </w:rPr>
      </w:pPr>
    </w:p>
    <w:p w14:paraId="6C14B494" w14:textId="77777777" w:rsidR="0061758E" w:rsidRPr="00275409" w:rsidRDefault="0061758E" w:rsidP="0061758E">
      <w:pPr>
        <w:spacing w:before="57"/>
        <w:ind w:left="720"/>
        <w:jc w:val="both"/>
        <w:rPr>
          <w:rFonts w:ascii="Arial" w:eastAsia="Times New Roman" w:hAnsi="Arial" w:cs="Arial"/>
          <w:i/>
          <w:iCs/>
          <w:color w:val="000000"/>
        </w:rPr>
      </w:pPr>
      <w:r w:rsidRPr="0093012B">
        <w:rPr>
          <w:rFonts w:ascii="Arial" w:eastAsia="Times New Roman" w:hAnsi="Arial" w:cs="Arial"/>
          <w:b/>
          <w:bCs/>
          <w:i/>
          <w:iCs/>
          <w:color w:val="000000"/>
        </w:rPr>
        <w:t>Artículo 131C. Circunstancias de agravación punitiva</w:t>
      </w:r>
      <w:r w:rsidRPr="0093012B">
        <w:rPr>
          <w:rFonts w:ascii="Arial" w:eastAsia="Times New Roman" w:hAnsi="Arial" w:cs="Arial"/>
          <w:i/>
          <w:iCs/>
          <w:color w:val="000000"/>
        </w:rPr>
        <w:t>. Las penas previstas para los delitos descritos en los dos artículos anteriores se aumentarán de una tercera parte a la mitad, cuando la conducta se cometa:</w:t>
      </w:r>
    </w:p>
    <w:p w14:paraId="716077D1" w14:textId="77777777" w:rsidR="0061758E" w:rsidRPr="0093012B" w:rsidRDefault="0061758E" w:rsidP="0061758E">
      <w:pPr>
        <w:spacing w:before="57"/>
        <w:ind w:left="720"/>
        <w:jc w:val="both"/>
        <w:rPr>
          <w:rFonts w:ascii="Arial" w:eastAsia="Times New Roman" w:hAnsi="Arial" w:cs="Arial"/>
        </w:rPr>
      </w:pPr>
    </w:p>
    <w:p w14:paraId="1CE1760D" w14:textId="3BCC4D90" w:rsidR="0061758E" w:rsidRPr="00275409" w:rsidRDefault="0061758E" w:rsidP="0061758E">
      <w:pPr>
        <w:pStyle w:val="Prrafodelista"/>
        <w:numPr>
          <w:ilvl w:val="0"/>
          <w:numId w:val="56"/>
        </w:numPr>
        <w:spacing w:after="0" w:line="240" w:lineRule="auto"/>
        <w:contextualSpacing w:val="0"/>
        <w:jc w:val="both"/>
        <w:rPr>
          <w:rFonts w:ascii="Arial" w:eastAsia="Times New Roman" w:hAnsi="Arial" w:cs="Arial"/>
          <w:i/>
          <w:iCs/>
          <w:color w:val="000000"/>
        </w:rPr>
      </w:pPr>
      <w:r w:rsidRPr="00275409">
        <w:rPr>
          <w:rFonts w:ascii="Arial" w:eastAsia="Times New Roman" w:hAnsi="Arial" w:cs="Arial"/>
          <w:i/>
          <w:iCs/>
          <w:color w:val="000000"/>
        </w:rPr>
        <w:t>En sujetos de especial protección como niños, niñas y adolescentes, mujeres en estado de embarazo, desplazados, víctimas de violencia y del conflicto armado, la población adulta mayor, personas que sufren de enfermedades huérfanas</w:t>
      </w:r>
      <w:r w:rsidR="001A650C">
        <w:rPr>
          <w:rFonts w:ascii="Arial" w:eastAsia="Times New Roman" w:hAnsi="Arial" w:cs="Arial"/>
          <w:i/>
          <w:iCs/>
          <w:color w:val="000000"/>
        </w:rPr>
        <w:t>, personas con enfermedades de alto costo</w:t>
      </w:r>
      <w:r w:rsidRPr="00275409">
        <w:rPr>
          <w:rFonts w:ascii="Arial" w:eastAsia="Times New Roman" w:hAnsi="Arial" w:cs="Arial"/>
          <w:i/>
          <w:iCs/>
          <w:color w:val="000000"/>
        </w:rPr>
        <w:t xml:space="preserve"> y personas en condición de discapacidad.</w:t>
      </w:r>
    </w:p>
    <w:p w14:paraId="107AA492" w14:textId="77777777" w:rsidR="0061758E" w:rsidRPr="00275409" w:rsidRDefault="0061758E" w:rsidP="0061758E">
      <w:pPr>
        <w:pStyle w:val="Prrafodelista"/>
        <w:numPr>
          <w:ilvl w:val="0"/>
          <w:numId w:val="56"/>
        </w:numPr>
        <w:spacing w:after="0" w:line="240" w:lineRule="auto"/>
        <w:contextualSpacing w:val="0"/>
        <w:jc w:val="both"/>
        <w:rPr>
          <w:rFonts w:ascii="Arial" w:eastAsia="Times New Roman" w:hAnsi="Arial" w:cs="Arial"/>
        </w:rPr>
      </w:pPr>
      <w:r w:rsidRPr="00275409">
        <w:rPr>
          <w:rFonts w:ascii="Arial" w:eastAsia="Times New Roman" w:hAnsi="Arial" w:cs="Arial"/>
          <w:i/>
          <w:iCs/>
          <w:color w:val="000000"/>
        </w:rPr>
        <w:t>Por el representante legal, miembros de la Junta Directiva, auditores, directores, gerentes, interventores o supervisores de las Entidades Promotoras de Salud, Entidades Administradoras de Planes de Beneficios o Instituciones Prestadoras de Servicios de Salud. En los casos en que el empleado actúa siguiendo instrucciones explícitas o implícitas de su superior, esta circunstancia no exime de responsabilidad penal, pero será considerada en la dosificación de la pena.</w:t>
      </w:r>
    </w:p>
    <w:p w14:paraId="4C083254" w14:textId="35EC48BE" w:rsidR="0061758E" w:rsidRPr="00275409" w:rsidRDefault="0061758E" w:rsidP="0061758E">
      <w:pPr>
        <w:pStyle w:val="Prrafodelista"/>
        <w:numPr>
          <w:ilvl w:val="0"/>
          <w:numId w:val="56"/>
        </w:numPr>
        <w:spacing w:after="0" w:line="240" w:lineRule="auto"/>
        <w:contextualSpacing w:val="0"/>
        <w:jc w:val="both"/>
        <w:rPr>
          <w:rFonts w:ascii="Arial" w:eastAsia="Times New Roman" w:hAnsi="Arial" w:cs="Arial"/>
        </w:rPr>
      </w:pPr>
      <w:r w:rsidRPr="00275409">
        <w:rPr>
          <w:rFonts w:ascii="Arial" w:eastAsia="Times New Roman" w:hAnsi="Arial" w:cs="Arial"/>
          <w:i/>
          <w:iCs/>
          <w:color w:val="000000"/>
        </w:rPr>
        <w:lastRenderedPageBreak/>
        <w:t xml:space="preserve">Con desconocimiento de fallos de tutela proferidos en la materia, y especialmente de sentencias de unificación </w:t>
      </w:r>
      <w:proofErr w:type="spellStart"/>
      <w:r w:rsidRPr="00275409">
        <w:rPr>
          <w:rFonts w:ascii="Arial" w:eastAsia="Times New Roman" w:hAnsi="Arial" w:cs="Arial"/>
          <w:i/>
          <w:iCs/>
          <w:color w:val="000000"/>
        </w:rPr>
        <w:t>proferida</w:t>
      </w:r>
      <w:r w:rsidR="00822CAA">
        <w:rPr>
          <w:rFonts w:ascii="Arial" w:eastAsia="Times New Roman" w:hAnsi="Arial" w:cs="Arial"/>
          <w:i/>
          <w:iCs/>
          <w:color w:val="000000"/>
        </w:rPr>
        <w:t>+</w:t>
      </w:r>
      <w:r w:rsidRPr="00275409">
        <w:rPr>
          <w:rFonts w:ascii="Arial" w:eastAsia="Times New Roman" w:hAnsi="Arial" w:cs="Arial"/>
          <w:i/>
          <w:iCs/>
          <w:color w:val="000000"/>
        </w:rPr>
        <w:t>s</w:t>
      </w:r>
      <w:proofErr w:type="spellEnd"/>
      <w:r w:rsidRPr="00275409">
        <w:rPr>
          <w:rFonts w:ascii="Arial" w:eastAsia="Times New Roman" w:hAnsi="Arial" w:cs="Arial"/>
          <w:i/>
          <w:iCs/>
          <w:color w:val="000000"/>
        </w:rPr>
        <w:t xml:space="preserve"> al respecto por la Corte Constitucional.</w:t>
      </w:r>
    </w:p>
    <w:p w14:paraId="717FB0AE" w14:textId="77777777" w:rsidR="0061758E" w:rsidRPr="00275409" w:rsidRDefault="0061758E" w:rsidP="0061758E">
      <w:pPr>
        <w:pStyle w:val="Prrafodelista"/>
        <w:numPr>
          <w:ilvl w:val="0"/>
          <w:numId w:val="56"/>
        </w:numPr>
        <w:spacing w:after="0" w:line="240" w:lineRule="auto"/>
        <w:contextualSpacing w:val="0"/>
        <w:jc w:val="both"/>
        <w:rPr>
          <w:rFonts w:ascii="Arial" w:eastAsia="Times New Roman" w:hAnsi="Arial" w:cs="Arial"/>
        </w:rPr>
      </w:pPr>
      <w:r w:rsidRPr="00275409">
        <w:rPr>
          <w:rFonts w:ascii="Arial" w:eastAsia="Times New Roman" w:hAnsi="Arial" w:cs="Arial"/>
          <w:i/>
          <w:iCs/>
          <w:color w:val="000000"/>
        </w:rPr>
        <w:t>Para cobrar por los servicios, valores que no corresponden a las tarifas autorizadas o cobrar por servicios que deben ser gratuitos.</w:t>
      </w:r>
    </w:p>
    <w:p w14:paraId="4AAA0031" w14:textId="77777777" w:rsidR="0061758E" w:rsidRPr="00275409" w:rsidRDefault="0061758E" w:rsidP="0061758E">
      <w:pPr>
        <w:pStyle w:val="Prrafodelista"/>
        <w:numPr>
          <w:ilvl w:val="0"/>
          <w:numId w:val="56"/>
        </w:numPr>
        <w:spacing w:after="0" w:line="240" w:lineRule="auto"/>
        <w:contextualSpacing w:val="0"/>
        <w:jc w:val="both"/>
        <w:rPr>
          <w:rFonts w:ascii="Arial" w:eastAsia="Times New Roman" w:hAnsi="Arial" w:cs="Arial"/>
        </w:rPr>
      </w:pPr>
      <w:r w:rsidRPr="00275409">
        <w:rPr>
          <w:rFonts w:ascii="Arial" w:eastAsia="Times New Roman" w:hAnsi="Arial" w:cs="Arial"/>
          <w:i/>
          <w:iCs/>
          <w:color w:val="000000"/>
        </w:rPr>
        <w:t>Sometiendo, o exponiendo a la persona a tratos crueles o inhumanos que afecten su dignidad, o que le causen o le hagan soportar un sufrimiento evitable.</w:t>
      </w:r>
    </w:p>
    <w:p w14:paraId="76D630BD" w14:textId="77777777" w:rsidR="0061758E" w:rsidRPr="00275409" w:rsidRDefault="0061758E" w:rsidP="0061758E">
      <w:pPr>
        <w:pStyle w:val="Prrafodelista"/>
        <w:numPr>
          <w:ilvl w:val="0"/>
          <w:numId w:val="56"/>
        </w:numPr>
        <w:spacing w:after="0" w:line="240" w:lineRule="auto"/>
        <w:contextualSpacing w:val="0"/>
        <w:jc w:val="both"/>
        <w:rPr>
          <w:rFonts w:ascii="Arial" w:eastAsia="Times New Roman" w:hAnsi="Arial" w:cs="Arial"/>
        </w:rPr>
      </w:pPr>
      <w:r w:rsidRPr="00275409">
        <w:rPr>
          <w:rFonts w:ascii="Arial" w:eastAsia="Times New Roman" w:hAnsi="Arial" w:cs="Arial"/>
          <w:i/>
          <w:iCs/>
          <w:color w:val="000000"/>
        </w:rPr>
        <w:t>Sometiendo a la persona a cargas administrativas o burocráticas que les corresponde asumir a los encargados o intervinientes en la prestación del servicio.</w:t>
      </w:r>
    </w:p>
    <w:p w14:paraId="5B397DDC" w14:textId="77777777" w:rsidR="00D74174" w:rsidRDefault="00D74174" w:rsidP="0061758E">
      <w:pPr>
        <w:spacing w:before="57"/>
        <w:jc w:val="both"/>
        <w:rPr>
          <w:rFonts w:ascii="Arial" w:eastAsia="Times New Roman" w:hAnsi="Arial" w:cs="Arial"/>
          <w:b/>
          <w:bCs/>
          <w:color w:val="000000"/>
        </w:rPr>
      </w:pPr>
    </w:p>
    <w:p w14:paraId="1218B3CE" w14:textId="77777777" w:rsidR="0061758E" w:rsidRPr="0093012B" w:rsidRDefault="0061758E" w:rsidP="0061758E">
      <w:pPr>
        <w:spacing w:before="57"/>
        <w:jc w:val="both"/>
        <w:rPr>
          <w:rFonts w:ascii="Arial" w:eastAsia="Times New Roman" w:hAnsi="Arial" w:cs="Arial"/>
        </w:rPr>
      </w:pPr>
      <w:r w:rsidRPr="0093012B">
        <w:rPr>
          <w:rFonts w:ascii="Arial" w:eastAsia="Times New Roman" w:hAnsi="Arial" w:cs="Arial"/>
          <w:b/>
          <w:bCs/>
          <w:color w:val="000000"/>
        </w:rPr>
        <w:t>Artículo 3°. Sujetos disciplinables en el sistema de seguridad social en salud.</w:t>
      </w:r>
      <w:r w:rsidRPr="0093012B">
        <w:rPr>
          <w:rFonts w:ascii="Arial" w:eastAsia="Times New Roman" w:hAnsi="Arial" w:cs="Arial"/>
          <w:color w:val="000000"/>
        </w:rPr>
        <w:t xml:space="preserve"> Adiciónese un inciso final al Artículo 70, Libro III Régimen Especial, Título I Régimen de los Particulares, Capítulo Primero de la Ley 1952 de 2019 Código General Disciplinario el cual quedará así:</w:t>
      </w:r>
    </w:p>
    <w:p w14:paraId="58B6A41A" w14:textId="777777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b/>
          <w:bCs/>
          <w:color w:val="000000"/>
        </w:rPr>
        <w:t>Artículo 70. Sujetos disciplinables</w:t>
      </w:r>
      <w:r w:rsidRPr="0093012B">
        <w:rPr>
          <w:rFonts w:ascii="Arial" w:eastAsia="Times New Roman" w:hAnsi="Arial" w:cs="Arial"/>
          <w:color w:val="000000"/>
        </w:rPr>
        <w:t>. El presente régimen se aplica a los particulares que ejerzan funciones públicas de manera permanente o transitoria; que administren recursos públicos; que cumplan labores de interventoría o supervisión en los contratos estatales y a los auxiliares de la justicia.</w:t>
      </w:r>
    </w:p>
    <w:p w14:paraId="71C2511C" w14:textId="777777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color w:val="000000"/>
        </w:rPr>
        <w:t>Los auxiliares de la justicia serán disciplinables conforme a este Código, sin perjuicio del poder correctivo del juez ante cuyo despacho intervengan.</w:t>
      </w:r>
    </w:p>
    <w:p w14:paraId="3161D770" w14:textId="777777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color w:val="000000"/>
        </w:rPr>
        <w:t>Se entiende que ejerce función pública aquel particular que, por disposición legal, acto administrativo, convenio o contrato, desarrolle o realice prerrogativas exclusivas de los órganos del Estado. No serán disciplinables aquellos particulares que presten servicios públicos, salvo que en ejercicio de dichas actividades desempeñen funciones públicas, evento en el cual resultarán destinatarios de las normas disciplinarias.</w:t>
      </w:r>
    </w:p>
    <w:p w14:paraId="1192AE05" w14:textId="777777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color w:val="000000"/>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14:paraId="432AB07C" w14:textId="777777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color w:val="000000"/>
        </w:rPr>
        <w:t>Cuando se trate de personas jurídicas la responsabilidad disciplinaria será exigible tanto al representante legal como a los miembros de la Junta Directiva, según el caso.</w:t>
      </w:r>
    </w:p>
    <w:p w14:paraId="31AC8D44" w14:textId="77777777" w:rsidR="0061758E" w:rsidRPr="00D74174" w:rsidRDefault="0061758E" w:rsidP="0061758E">
      <w:pPr>
        <w:spacing w:before="57"/>
        <w:ind w:left="720"/>
        <w:jc w:val="both"/>
        <w:rPr>
          <w:rFonts w:ascii="Arial" w:eastAsia="Times New Roman" w:hAnsi="Arial" w:cs="Arial"/>
        </w:rPr>
      </w:pPr>
      <w:r w:rsidRPr="00D74174">
        <w:rPr>
          <w:rFonts w:ascii="Arial" w:eastAsia="Times New Roman" w:hAnsi="Arial" w:cs="Arial"/>
          <w:color w:val="000000"/>
        </w:rPr>
        <w:t>Sin perjuicio de la responsabilidad que corresponde a los miembros de las Juntas Directivas y Representantes Legales, se aplica este régimen a los funcionarios encargados de la administración y gestión de la prestación de los servicios de salud de las Entidades Promotoras de Salud, Entidades Administradoras de Planes de Beneficios e Instituciones Prestadoras de Servicios de Salud del Sistema General de Seguridad Social en Salud o de las entidades exceptuadas.</w:t>
      </w:r>
    </w:p>
    <w:p w14:paraId="43B43588" w14:textId="77777777" w:rsidR="0061758E" w:rsidRPr="00D74174" w:rsidRDefault="0061758E" w:rsidP="0061758E">
      <w:pPr>
        <w:jc w:val="both"/>
        <w:rPr>
          <w:rFonts w:ascii="Arial" w:eastAsia="Times New Roman" w:hAnsi="Arial" w:cs="Arial"/>
        </w:rPr>
      </w:pPr>
    </w:p>
    <w:p w14:paraId="73767559" w14:textId="77777777" w:rsidR="0061758E" w:rsidRPr="0093012B" w:rsidRDefault="0061758E" w:rsidP="0061758E">
      <w:pPr>
        <w:spacing w:before="57"/>
        <w:jc w:val="both"/>
        <w:rPr>
          <w:rFonts w:ascii="Arial" w:eastAsia="Times New Roman" w:hAnsi="Arial" w:cs="Arial"/>
        </w:rPr>
      </w:pPr>
      <w:r w:rsidRPr="0093012B">
        <w:rPr>
          <w:rFonts w:ascii="Arial" w:eastAsia="Times New Roman" w:hAnsi="Arial" w:cs="Arial"/>
          <w:b/>
          <w:bCs/>
          <w:color w:val="000000"/>
        </w:rPr>
        <w:t>Artículo 4º. Faltas disciplinarias en el sistema de seguridad social en salud.</w:t>
      </w:r>
      <w:r w:rsidRPr="0093012B">
        <w:rPr>
          <w:rFonts w:ascii="Arial" w:eastAsia="Times New Roman" w:hAnsi="Arial" w:cs="Arial"/>
          <w:color w:val="000000"/>
        </w:rPr>
        <w:t xml:space="preserve"> Adiciónense los numerales 12, 13 y 14 al Artículo 72, de la Ley 1952 de 2019, Código General Disciplinario, los cuales quedarán así:</w:t>
      </w:r>
    </w:p>
    <w:p w14:paraId="44498F8C" w14:textId="77777777" w:rsidR="0061758E" w:rsidRPr="0093012B" w:rsidRDefault="0061758E" w:rsidP="0061758E">
      <w:pPr>
        <w:spacing w:before="57"/>
        <w:ind w:left="708"/>
        <w:jc w:val="both"/>
        <w:rPr>
          <w:rFonts w:ascii="Arial" w:eastAsia="Times New Roman" w:hAnsi="Arial" w:cs="Arial"/>
        </w:rPr>
      </w:pPr>
      <w:r w:rsidRPr="0093012B">
        <w:rPr>
          <w:rFonts w:ascii="Arial" w:eastAsia="Times New Roman" w:hAnsi="Arial" w:cs="Arial"/>
          <w:b/>
          <w:bCs/>
          <w:color w:val="000000"/>
        </w:rPr>
        <w:lastRenderedPageBreak/>
        <w:t>Artículo 72. Sujetos y faltas gravísimas</w:t>
      </w:r>
      <w:r w:rsidRPr="0093012B">
        <w:rPr>
          <w:rFonts w:ascii="Arial" w:eastAsia="Times New Roman" w:hAnsi="Arial" w:cs="Arial"/>
          <w:color w:val="000000"/>
        </w:rPr>
        <w:t>. Los sujetos disciplinables por este título sólo responderán de las faltas gravísimas aquí descritas; son faltas gravísimas las siguientes conductas:</w:t>
      </w:r>
    </w:p>
    <w:p w14:paraId="1A2C84F8" w14:textId="77777777" w:rsidR="0061758E" w:rsidRPr="0093012B" w:rsidRDefault="0061758E" w:rsidP="0061758E">
      <w:pPr>
        <w:numPr>
          <w:ilvl w:val="0"/>
          <w:numId w:val="57"/>
        </w:numPr>
        <w:spacing w:before="57"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Actuar u omitir, a pesar de la existencia de causales de incompatibilidad, inhabilidad, impedimento o conflicto de intereses establecidos en la Constitución o en la ley.</w:t>
      </w:r>
    </w:p>
    <w:p w14:paraId="38F5D458"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Desatender las instrucciones o directrices contenidas en los actos administrativos de los organismos de regulación, control y vigilancia o de la autoridad o entidad pública titular de la función.</w:t>
      </w:r>
    </w:p>
    <w:p w14:paraId="49DFFAED"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Apropiarse, directa o indirectamente, en provecho propio o de un tercero, de recursos públicos, o permitir que otro lo haga; o utilizarlos indebidamente.</w:t>
      </w:r>
    </w:p>
    <w:p w14:paraId="30AA3076"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Cobrar por los servicios derechos que no correspondan a las tarifas autorizadas en el arancel vigente, o hacerlo por aquellos que no causen erogación.</w:t>
      </w:r>
    </w:p>
    <w:p w14:paraId="0C11FAF5"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Ofrecer u otorgar dádivas o prebendas a los servidores públicos o particulares para obtener beneficios personales que desvíen la transparencia en el uso de los recursos públicos.</w:t>
      </w:r>
    </w:p>
    <w:p w14:paraId="28D5458C"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Abstenerse de denunciar a los servidores públicos y particulares que soliciten dádivas, prebendas o cualquier beneficio en perjuicio de la transparencia del servicio público.</w:t>
      </w:r>
    </w:p>
    <w:p w14:paraId="18D9DCB6"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Ejercer las potestades que su empleo o función le concedan para una finalidad distinta a la prevista en la norma otorgante.</w:t>
      </w:r>
    </w:p>
    <w:p w14:paraId="78F4E537"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Ejercer las funciones con el propósito de defraudar otra norma de carácter imperativo.</w:t>
      </w:r>
    </w:p>
    <w:p w14:paraId="660A6A89"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Abusar de los derechos o extralimitarse en las funciones.</w:t>
      </w:r>
    </w:p>
    <w:p w14:paraId="38A5F7D7"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Las consagradas en el numeral 14 del artículo 39; numerales 2, 3, 6 y 7 del artículo 54; numerales 4, 7 y 10 del artículo 55; numeral 3 del artículo 56; numerales 1, 8, 9, 10 y 11 del artículo 57; numeral 2 del artículo 60; numeral I del artículo 61; numerales 1, 4, 5, 6 y 8 del artículo 62, cuando resulten compatibles con la función, servicio o labor.</w:t>
      </w:r>
    </w:p>
    <w:p w14:paraId="5221C66D" w14:textId="77777777" w:rsidR="0061758E" w:rsidRPr="0093012B" w:rsidRDefault="0061758E" w:rsidP="0061758E">
      <w:pPr>
        <w:numPr>
          <w:ilvl w:val="0"/>
          <w:numId w:val="57"/>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Cuando la conducta no pueda adecuarse a ninguna de las anteriores faltas, en virtud de los principios de especialidad y subsidiariedad, constituirá falta gravísima realizar objetivamente una descripción típica consagrada en la ley como delito sancionable a título de dolo, cuando se cometa en razón, con ocasión o como consecuencia de la función o cargo, o abusando de él</w:t>
      </w:r>
    </w:p>
    <w:p w14:paraId="74C61CD6" w14:textId="77777777" w:rsidR="0061758E" w:rsidRPr="00D74174" w:rsidRDefault="0061758E" w:rsidP="0061758E">
      <w:pPr>
        <w:numPr>
          <w:ilvl w:val="0"/>
          <w:numId w:val="57"/>
        </w:numPr>
        <w:spacing w:after="0" w:line="240" w:lineRule="auto"/>
        <w:jc w:val="both"/>
        <w:textAlignment w:val="baseline"/>
        <w:rPr>
          <w:rFonts w:ascii="Arial" w:eastAsia="Times New Roman" w:hAnsi="Arial" w:cs="Arial"/>
          <w:color w:val="000000"/>
        </w:rPr>
      </w:pPr>
      <w:r w:rsidRPr="00D74174">
        <w:rPr>
          <w:rFonts w:ascii="Arial" w:eastAsia="Times New Roman" w:hAnsi="Arial" w:cs="Arial"/>
          <w:color w:val="000000"/>
        </w:rPr>
        <w:t>Negar, retrasar u obstaculizar el acceso a servicios o tecnologías contemplados en los planes obligatorios de salud, o que no se encuentren expresamente excluidos.</w:t>
      </w:r>
    </w:p>
    <w:p w14:paraId="6F4D2464" w14:textId="77777777" w:rsidR="0061758E" w:rsidRPr="00D74174" w:rsidRDefault="0061758E" w:rsidP="0061758E">
      <w:pPr>
        <w:numPr>
          <w:ilvl w:val="0"/>
          <w:numId w:val="57"/>
        </w:numPr>
        <w:spacing w:after="0" w:line="240" w:lineRule="auto"/>
        <w:jc w:val="both"/>
        <w:textAlignment w:val="baseline"/>
        <w:rPr>
          <w:rFonts w:ascii="Arial" w:eastAsia="Times New Roman" w:hAnsi="Arial" w:cs="Arial"/>
          <w:color w:val="000000"/>
        </w:rPr>
      </w:pPr>
      <w:r w:rsidRPr="00D74174">
        <w:rPr>
          <w:rFonts w:ascii="Arial" w:eastAsia="Times New Roman" w:hAnsi="Arial" w:cs="Arial"/>
          <w:color w:val="000000"/>
        </w:rPr>
        <w:t>Incumplir o desacatar fallos de tutela en salud.</w:t>
      </w:r>
    </w:p>
    <w:p w14:paraId="7D7A0AD5" w14:textId="77777777" w:rsidR="0061758E" w:rsidRPr="00D74174" w:rsidRDefault="0061758E" w:rsidP="0061758E">
      <w:pPr>
        <w:numPr>
          <w:ilvl w:val="0"/>
          <w:numId w:val="57"/>
        </w:numPr>
        <w:spacing w:after="0" w:line="240" w:lineRule="auto"/>
        <w:jc w:val="both"/>
        <w:textAlignment w:val="baseline"/>
        <w:rPr>
          <w:rFonts w:ascii="Arial" w:eastAsia="Times New Roman" w:hAnsi="Arial" w:cs="Arial"/>
          <w:color w:val="000000"/>
        </w:rPr>
      </w:pPr>
      <w:r w:rsidRPr="00D74174">
        <w:rPr>
          <w:rFonts w:ascii="Arial" w:eastAsia="Times New Roman" w:hAnsi="Arial" w:cs="Arial"/>
          <w:color w:val="000000"/>
        </w:rPr>
        <w:t>Incumplir cualquiera de las obligaciones establecidas en el Régimen Legal del Sistema General de Seguridad Social en Salud, relacionados con la garantía de la prestación de los servicios de salud a la población afiliada al Sistema General de Seguridad Social en Salud.</w:t>
      </w:r>
    </w:p>
    <w:p w14:paraId="4DFE8CFB" w14:textId="77777777" w:rsidR="0061758E" w:rsidRPr="00D74174" w:rsidRDefault="0061758E" w:rsidP="0061758E">
      <w:pPr>
        <w:jc w:val="both"/>
        <w:rPr>
          <w:rFonts w:ascii="Arial" w:eastAsia="Times New Roman" w:hAnsi="Arial" w:cs="Arial"/>
        </w:rPr>
      </w:pPr>
    </w:p>
    <w:p w14:paraId="39735FE9" w14:textId="77777777" w:rsidR="0061758E" w:rsidRPr="0093012B" w:rsidRDefault="0061758E" w:rsidP="0061758E">
      <w:pPr>
        <w:spacing w:before="57"/>
        <w:jc w:val="both"/>
        <w:rPr>
          <w:rFonts w:ascii="Arial" w:eastAsia="Times New Roman" w:hAnsi="Arial" w:cs="Arial"/>
        </w:rPr>
      </w:pPr>
      <w:r w:rsidRPr="0093012B">
        <w:rPr>
          <w:rFonts w:ascii="Arial" w:eastAsia="Times New Roman" w:hAnsi="Arial" w:cs="Arial"/>
          <w:b/>
          <w:bCs/>
          <w:color w:val="000000"/>
        </w:rPr>
        <w:t>Parágrafo 1°</w:t>
      </w:r>
      <w:r w:rsidRPr="0093012B">
        <w:rPr>
          <w:rFonts w:ascii="Arial" w:eastAsia="Times New Roman" w:hAnsi="Arial" w:cs="Arial"/>
          <w:color w:val="000000"/>
        </w:rPr>
        <w:t>. Las faltas gravísimas sólo son sancionables a título de dolo o culpa.</w:t>
      </w:r>
    </w:p>
    <w:p w14:paraId="1A33489C" w14:textId="77777777" w:rsidR="0061758E" w:rsidRPr="0093012B" w:rsidRDefault="0061758E" w:rsidP="0061758E">
      <w:pPr>
        <w:jc w:val="both"/>
        <w:rPr>
          <w:rFonts w:ascii="Arial" w:eastAsia="Times New Roman" w:hAnsi="Arial" w:cs="Arial"/>
        </w:rPr>
      </w:pPr>
    </w:p>
    <w:p w14:paraId="3C754FC8"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color w:val="000000"/>
        </w:rPr>
        <w:t>Parágrafo 2°.</w:t>
      </w:r>
      <w:r w:rsidRPr="0093012B">
        <w:rPr>
          <w:rFonts w:ascii="Arial" w:eastAsia="Times New Roman" w:hAnsi="Arial" w:cs="Arial"/>
          <w:color w:val="000000"/>
        </w:rPr>
        <w:t xml:space="preserve"> Los árbitros y conciliadores quedarán sometidos además al régimen de faltas, deberes, prohibiciones, inhabilidades, incompatibilidades, impedimentos y conflictos de intereses de los funcionarios judiciales en lo que sea compatible con su naturaleza particular. Las sanciones a imponer serán las consagradas para los funcionarios judiciales acorde con la jerarquía de la función que le competía al juez o magistrado desplazado.</w:t>
      </w:r>
    </w:p>
    <w:p w14:paraId="7B826D97" w14:textId="77777777" w:rsidR="0061758E" w:rsidRPr="0093012B" w:rsidRDefault="0061758E" w:rsidP="0061758E">
      <w:pPr>
        <w:jc w:val="both"/>
        <w:rPr>
          <w:rFonts w:ascii="Arial" w:eastAsia="Times New Roman" w:hAnsi="Arial" w:cs="Arial"/>
        </w:rPr>
      </w:pPr>
    </w:p>
    <w:p w14:paraId="55B33410"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color w:val="000000"/>
        </w:rPr>
        <w:t xml:space="preserve">Artículo 5º. Sanciones disciplinarias en el sistema de seguridad social en salud. </w:t>
      </w:r>
      <w:r w:rsidRPr="0093012B">
        <w:rPr>
          <w:rFonts w:ascii="Arial" w:eastAsia="Times New Roman" w:hAnsi="Arial" w:cs="Arial"/>
          <w:color w:val="000000"/>
        </w:rPr>
        <w:t>Adiciónese un inciso al Artículo 73 de la Ley 1952 de 2019, Código General Disciplinario, el cual quedará así:</w:t>
      </w:r>
    </w:p>
    <w:p w14:paraId="179CFE46"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color w:val="000000"/>
        </w:rPr>
        <w:t>Artículo 73. Sanción.</w:t>
      </w:r>
      <w:r w:rsidRPr="0093012B">
        <w:rPr>
          <w:rFonts w:ascii="Arial" w:eastAsia="Times New Roman" w:hAnsi="Arial" w:cs="Arial"/>
          <w:color w:val="000000"/>
        </w:rPr>
        <w:t xml:space="preserve"> Los particulares destinatarios de la ley disciplinaria estarán sometidos a las siguientes sanciones principales:</w:t>
      </w:r>
    </w:p>
    <w:p w14:paraId="7CD36F8F" w14:textId="77777777" w:rsidR="0061758E" w:rsidRPr="0093012B" w:rsidRDefault="0061758E" w:rsidP="0061758E">
      <w:pPr>
        <w:jc w:val="both"/>
        <w:rPr>
          <w:rFonts w:ascii="Arial" w:eastAsia="Times New Roman" w:hAnsi="Arial" w:cs="Arial"/>
        </w:rPr>
      </w:pPr>
      <w:r w:rsidRPr="0093012B">
        <w:rPr>
          <w:rFonts w:ascii="Arial" w:eastAsia="Times New Roman" w:hAnsi="Arial" w:cs="Arial"/>
          <w:color w:val="000000"/>
        </w:rPr>
        <w:t>Multa de 10 a 100 salarios mínimos mensuales legales vigentes al momento de la comisión del hecho y, concurrentemente, inhabilidad para ejercer empleo público, función pública, prestar servicios a cargo del Estado, o contratar con este de uno a veinte años.</w:t>
      </w:r>
    </w:p>
    <w:p w14:paraId="566BC0A0" w14:textId="77777777" w:rsidR="0061758E" w:rsidRPr="0093012B" w:rsidRDefault="0061758E" w:rsidP="0061758E">
      <w:pPr>
        <w:jc w:val="both"/>
        <w:rPr>
          <w:rFonts w:ascii="Arial" w:eastAsia="Times New Roman" w:hAnsi="Arial" w:cs="Arial"/>
        </w:rPr>
      </w:pPr>
      <w:r w:rsidRPr="0093012B">
        <w:rPr>
          <w:rFonts w:ascii="Arial" w:eastAsia="Times New Roman" w:hAnsi="Arial" w:cs="Arial"/>
          <w:color w:val="000000"/>
        </w:rPr>
        <w:t>Cuando la conducta disciplinable implique detrimento del patrimonio público, la sanción patrimonial será igual al doble del detrimento patrimonial sufrido por el Estado.</w:t>
      </w:r>
    </w:p>
    <w:p w14:paraId="19351A43" w14:textId="77777777" w:rsidR="0061758E" w:rsidRPr="0093012B" w:rsidRDefault="0061758E" w:rsidP="0061758E">
      <w:pPr>
        <w:jc w:val="both"/>
        <w:rPr>
          <w:rFonts w:ascii="Arial" w:eastAsia="Times New Roman" w:hAnsi="Arial" w:cs="Arial"/>
        </w:rPr>
      </w:pPr>
      <w:r w:rsidRPr="0093012B">
        <w:rPr>
          <w:rFonts w:ascii="Arial" w:eastAsia="Times New Roman" w:hAnsi="Arial" w:cs="Arial"/>
          <w:color w:val="000000"/>
        </w:rPr>
        <w:t>Cuando la prestación del servicio sea permanente y la vinculación provenga de nombramiento oficial, será de destitución e inhabilidad de 1 a 20 años.</w:t>
      </w:r>
    </w:p>
    <w:p w14:paraId="3B038CB2" w14:textId="77777777" w:rsidR="0061758E" w:rsidRPr="005C685F" w:rsidRDefault="0061758E" w:rsidP="0061758E">
      <w:pPr>
        <w:jc w:val="both"/>
        <w:rPr>
          <w:rFonts w:ascii="Arial" w:eastAsia="Times New Roman" w:hAnsi="Arial" w:cs="Arial"/>
        </w:rPr>
      </w:pPr>
      <w:r w:rsidRPr="005C685F">
        <w:rPr>
          <w:rFonts w:ascii="Arial" w:eastAsia="Times New Roman" w:hAnsi="Arial" w:cs="Arial"/>
          <w:color w:val="000000"/>
        </w:rPr>
        <w:t>Cuando se trate de las conductas previstas en los numerales 12, 13 y 14 del artículo 72 de éste Código, la inhabilidad será para ejercer empleo público, función pública, prestar servicios a cargo del Estado, o contratar con este, y para desempeñarse a cualquier título en cualquier entidad pública o privada perteneciente al Sistema General de Seguridad Social en Salud y no podrá ser inferior a diez años.</w:t>
      </w:r>
    </w:p>
    <w:p w14:paraId="1239698D" w14:textId="77777777" w:rsidR="0061758E" w:rsidRPr="0093012B" w:rsidRDefault="0061758E" w:rsidP="0061758E">
      <w:pPr>
        <w:jc w:val="both"/>
        <w:rPr>
          <w:rFonts w:ascii="Arial" w:eastAsia="Times New Roman" w:hAnsi="Arial" w:cs="Arial"/>
        </w:rPr>
      </w:pPr>
    </w:p>
    <w:p w14:paraId="3F92F461" w14:textId="77777777" w:rsidR="0061758E" w:rsidRPr="0093012B" w:rsidRDefault="0061758E" w:rsidP="0061758E">
      <w:pPr>
        <w:spacing w:before="57"/>
        <w:jc w:val="both"/>
        <w:rPr>
          <w:rFonts w:ascii="Arial" w:eastAsia="Times New Roman" w:hAnsi="Arial" w:cs="Arial"/>
        </w:rPr>
      </w:pPr>
      <w:r w:rsidRPr="0093012B">
        <w:rPr>
          <w:rFonts w:ascii="Arial" w:eastAsia="Times New Roman" w:hAnsi="Arial" w:cs="Arial"/>
          <w:b/>
          <w:bCs/>
          <w:i/>
          <w:iCs/>
          <w:color w:val="000000"/>
        </w:rPr>
        <w:t>Artículo 6º. Criterios para la graduación de la sanción disciplinaria en el sistema general de seguridad social en salud</w:t>
      </w:r>
      <w:r w:rsidRPr="0093012B">
        <w:rPr>
          <w:rFonts w:ascii="Arial" w:eastAsia="Times New Roman" w:hAnsi="Arial" w:cs="Arial"/>
          <w:color w:val="000000"/>
        </w:rPr>
        <w:t>. Adiciónese ocho incisos al Artículo 74 de la Ley 1952 de 2019, Código General Disciplinario, así:</w:t>
      </w:r>
    </w:p>
    <w:p w14:paraId="03B602E3" w14:textId="77777777" w:rsidR="0061758E" w:rsidRPr="0093012B" w:rsidRDefault="0061758E" w:rsidP="0061758E">
      <w:pPr>
        <w:jc w:val="both"/>
        <w:rPr>
          <w:rFonts w:ascii="Arial" w:eastAsia="Times New Roman" w:hAnsi="Arial" w:cs="Arial"/>
        </w:rPr>
      </w:pPr>
    </w:p>
    <w:p w14:paraId="7899632D" w14:textId="77777777" w:rsidR="0061758E" w:rsidRPr="0093012B" w:rsidRDefault="0061758E" w:rsidP="0061758E">
      <w:pPr>
        <w:spacing w:before="57"/>
        <w:ind w:left="720"/>
        <w:jc w:val="both"/>
        <w:rPr>
          <w:rFonts w:ascii="Arial" w:eastAsia="Times New Roman" w:hAnsi="Arial" w:cs="Arial"/>
        </w:rPr>
      </w:pPr>
      <w:r w:rsidRPr="0093012B">
        <w:rPr>
          <w:rFonts w:ascii="Arial" w:eastAsia="Times New Roman" w:hAnsi="Arial" w:cs="Arial"/>
          <w:b/>
          <w:bCs/>
          <w:color w:val="000000"/>
        </w:rPr>
        <w:t>Artículo 74. Criterios para la graduación de la sanción</w:t>
      </w:r>
      <w:r w:rsidRPr="0093012B">
        <w:rPr>
          <w:rFonts w:ascii="Arial" w:eastAsia="Times New Roman" w:hAnsi="Arial" w:cs="Arial"/>
          <w:color w:val="000000"/>
        </w:rPr>
        <w:t>. Además de los criterios para la graduación de la sanción consagrados para los servidores públicos, respecto de los destinatarios de la ley disciplinaria de que trata este libro, se tendrán en cuenta el resarcimiento del perjuicio causado, la situación económica del sancionado y la cuantía de la remuneración percibida por el servicio prestado.</w:t>
      </w:r>
    </w:p>
    <w:p w14:paraId="2F7EB5B3" w14:textId="77777777" w:rsidR="0061758E" w:rsidRPr="005C685F" w:rsidRDefault="0061758E" w:rsidP="0061758E">
      <w:pPr>
        <w:spacing w:before="57"/>
        <w:ind w:left="720"/>
        <w:jc w:val="both"/>
        <w:rPr>
          <w:rFonts w:ascii="Arial" w:eastAsia="Times New Roman" w:hAnsi="Arial" w:cs="Arial"/>
          <w:color w:val="000000"/>
        </w:rPr>
      </w:pPr>
      <w:r w:rsidRPr="005C685F">
        <w:rPr>
          <w:rFonts w:ascii="Arial" w:eastAsia="Times New Roman" w:hAnsi="Arial" w:cs="Arial"/>
          <w:color w:val="000000"/>
        </w:rPr>
        <w:t>Para la graduación de la sanción, respecto de las conductas descritas en los numerales 12, 13 y 14 del artículo 72 de este Código, serán tenidas en cuenta como circunstancias de agravación, la comisión de la conducta:</w:t>
      </w:r>
    </w:p>
    <w:p w14:paraId="3E1CE53C" w14:textId="24CE22C5" w:rsidR="0061758E" w:rsidRPr="005C685F" w:rsidRDefault="0061758E" w:rsidP="0061758E">
      <w:pPr>
        <w:numPr>
          <w:ilvl w:val="0"/>
          <w:numId w:val="58"/>
        </w:numPr>
        <w:spacing w:before="57" w:after="0" w:line="240" w:lineRule="auto"/>
        <w:jc w:val="both"/>
        <w:textAlignment w:val="baseline"/>
        <w:rPr>
          <w:rFonts w:ascii="Arial" w:eastAsia="Times New Roman" w:hAnsi="Arial" w:cs="Arial"/>
          <w:color w:val="000000"/>
        </w:rPr>
      </w:pPr>
      <w:r w:rsidRPr="005C685F">
        <w:rPr>
          <w:rFonts w:ascii="Arial" w:eastAsia="Times New Roman" w:hAnsi="Arial" w:cs="Arial"/>
          <w:color w:val="000000"/>
        </w:rPr>
        <w:t>En sujetos de especial protección como niños, niñas y adolescentes, mujeres en estado de embarazo, desplazados, víctimas de violencia y del conflicto armado, la población adulta mayor, personas que sufren de enfermedades huérfanas</w:t>
      </w:r>
      <w:r w:rsidR="009001F3">
        <w:rPr>
          <w:rFonts w:ascii="Arial" w:eastAsia="Times New Roman" w:hAnsi="Arial" w:cs="Arial"/>
          <w:color w:val="000000"/>
        </w:rPr>
        <w:t>, personas con enfermedades de alto costo</w:t>
      </w:r>
      <w:r w:rsidRPr="005C685F">
        <w:rPr>
          <w:rFonts w:ascii="Arial" w:eastAsia="Times New Roman" w:hAnsi="Arial" w:cs="Arial"/>
          <w:color w:val="000000"/>
        </w:rPr>
        <w:t xml:space="preserve"> y personas en condición de discapacidad.</w:t>
      </w:r>
    </w:p>
    <w:p w14:paraId="7592F9A6" w14:textId="77777777" w:rsidR="0061758E" w:rsidRPr="005C685F" w:rsidRDefault="0061758E" w:rsidP="0061758E">
      <w:pPr>
        <w:numPr>
          <w:ilvl w:val="0"/>
          <w:numId w:val="58"/>
        </w:numPr>
        <w:spacing w:before="57" w:after="0" w:line="240" w:lineRule="auto"/>
        <w:jc w:val="both"/>
        <w:textAlignment w:val="baseline"/>
        <w:rPr>
          <w:rFonts w:ascii="Arial" w:eastAsia="Times New Roman" w:hAnsi="Arial" w:cs="Arial"/>
          <w:color w:val="000000"/>
        </w:rPr>
      </w:pPr>
      <w:r w:rsidRPr="005C685F">
        <w:rPr>
          <w:rFonts w:ascii="Arial" w:eastAsia="Times New Roman" w:hAnsi="Arial" w:cs="Arial"/>
          <w:color w:val="000000"/>
        </w:rPr>
        <w:t>Con desconocimiento de fallos de tutela proferidos en la materia, y especialmente de sentencias de unificación proferidas al respecto por la Corte Constitucional</w:t>
      </w:r>
    </w:p>
    <w:p w14:paraId="228040C1" w14:textId="77777777" w:rsidR="0061758E" w:rsidRPr="005C685F" w:rsidRDefault="0061758E" w:rsidP="0061758E">
      <w:pPr>
        <w:numPr>
          <w:ilvl w:val="0"/>
          <w:numId w:val="58"/>
        </w:numPr>
        <w:spacing w:before="57" w:after="0" w:line="240" w:lineRule="auto"/>
        <w:jc w:val="both"/>
        <w:textAlignment w:val="baseline"/>
        <w:rPr>
          <w:rFonts w:ascii="Arial" w:eastAsia="Times New Roman" w:hAnsi="Arial" w:cs="Arial"/>
          <w:color w:val="000000"/>
        </w:rPr>
      </w:pPr>
      <w:r w:rsidRPr="005C685F">
        <w:rPr>
          <w:rFonts w:ascii="Arial" w:eastAsia="Times New Roman" w:hAnsi="Arial" w:cs="Arial"/>
          <w:color w:val="000000"/>
        </w:rPr>
        <w:t>Incumpliendo sentencias de tutela proferidas sobre el caso específico, con identidad de causa, objeto y partes, o con repetición de la acción o la omisión que motivó una tutela concedida mediante fallo ejecutoriado en proceso en el cual haya sido parte.</w:t>
      </w:r>
    </w:p>
    <w:p w14:paraId="2D40F1DF" w14:textId="77777777" w:rsidR="0061758E" w:rsidRPr="005C685F" w:rsidRDefault="0061758E" w:rsidP="0061758E">
      <w:pPr>
        <w:numPr>
          <w:ilvl w:val="0"/>
          <w:numId w:val="58"/>
        </w:numPr>
        <w:spacing w:before="57" w:after="0" w:line="240" w:lineRule="auto"/>
        <w:jc w:val="both"/>
        <w:textAlignment w:val="baseline"/>
        <w:rPr>
          <w:rFonts w:ascii="Arial" w:eastAsia="Times New Roman" w:hAnsi="Arial" w:cs="Arial"/>
          <w:color w:val="000000"/>
        </w:rPr>
      </w:pPr>
      <w:r w:rsidRPr="005C685F">
        <w:rPr>
          <w:rFonts w:ascii="Arial" w:eastAsia="Times New Roman" w:hAnsi="Arial" w:cs="Arial"/>
          <w:color w:val="000000"/>
        </w:rPr>
        <w:lastRenderedPageBreak/>
        <w:t>Con desconocimiento de las instrucciones o directrices contenidas en los actos administrativos de los organismos de regulación, control y vigilancia o de la autoridad o entidad pública titular de la función.</w:t>
      </w:r>
    </w:p>
    <w:p w14:paraId="2F8BD5F9" w14:textId="77777777" w:rsidR="0061758E" w:rsidRPr="005C685F" w:rsidRDefault="0061758E" w:rsidP="0061758E">
      <w:pPr>
        <w:numPr>
          <w:ilvl w:val="0"/>
          <w:numId w:val="58"/>
        </w:numPr>
        <w:spacing w:before="57" w:after="0" w:line="240" w:lineRule="auto"/>
        <w:jc w:val="both"/>
        <w:textAlignment w:val="baseline"/>
        <w:rPr>
          <w:rFonts w:ascii="Arial" w:eastAsia="Times New Roman" w:hAnsi="Arial" w:cs="Arial"/>
          <w:color w:val="000000"/>
        </w:rPr>
      </w:pPr>
      <w:r w:rsidRPr="005C685F">
        <w:rPr>
          <w:rFonts w:ascii="Arial" w:eastAsia="Times New Roman" w:hAnsi="Arial" w:cs="Arial"/>
          <w:color w:val="000000"/>
        </w:rPr>
        <w:t>Para cobrar por los servicios, valores que no corresponden a las tarifas autorizadas, cobrar por servicios que deben ser gratuitos o efectuar recobros indebidos.</w:t>
      </w:r>
    </w:p>
    <w:p w14:paraId="229C82C2" w14:textId="77777777" w:rsidR="0061758E" w:rsidRPr="005C685F" w:rsidRDefault="0061758E" w:rsidP="0061758E">
      <w:pPr>
        <w:numPr>
          <w:ilvl w:val="0"/>
          <w:numId w:val="58"/>
        </w:numPr>
        <w:spacing w:before="57" w:after="0" w:line="240" w:lineRule="auto"/>
        <w:jc w:val="both"/>
        <w:textAlignment w:val="baseline"/>
        <w:rPr>
          <w:rFonts w:ascii="Arial" w:eastAsia="Times New Roman" w:hAnsi="Arial" w:cs="Arial"/>
          <w:color w:val="000000"/>
        </w:rPr>
      </w:pPr>
      <w:r w:rsidRPr="005C685F">
        <w:rPr>
          <w:rFonts w:ascii="Arial" w:eastAsia="Times New Roman" w:hAnsi="Arial" w:cs="Arial"/>
          <w:color w:val="000000"/>
        </w:rPr>
        <w:t>Sometiendo a la persona a tratos crueles o inhumanos que afecten su dignidad, o que le causen o le hagan soportar un sufrimiento evitable.</w:t>
      </w:r>
    </w:p>
    <w:p w14:paraId="69510306" w14:textId="77777777" w:rsidR="0061758E" w:rsidRPr="005C685F" w:rsidRDefault="0061758E" w:rsidP="0061758E">
      <w:pPr>
        <w:numPr>
          <w:ilvl w:val="0"/>
          <w:numId w:val="58"/>
        </w:numPr>
        <w:spacing w:before="57" w:after="0" w:line="240" w:lineRule="auto"/>
        <w:jc w:val="both"/>
        <w:textAlignment w:val="baseline"/>
        <w:rPr>
          <w:rFonts w:ascii="Arial" w:eastAsia="Times New Roman" w:hAnsi="Arial" w:cs="Arial"/>
          <w:color w:val="000000"/>
        </w:rPr>
      </w:pPr>
      <w:r w:rsidRPr="005C685F">
        <w:rPr>
          <w:rFonts w:ascii="Arial" w:eastAsia="Times New Roman" w:hAnsi="Arial" w:cs="Arial"/>
          <w:color w:val="000000"/>
        </w:rPr>
        <w:t>Sometiendo a la persona a cargas administrativas o burocráticas que les corresponde asumir a los encargados o intervinientes en la prestación del servicio.</w:t>
      </w:r>
    </w:p>
    <w:p w14:paraId="63EDE002" w14:textId="77777777" w:rsidR="0061758E" w:rsidRPr="005C685F" w:rsidRDefault="0061758E" w:rsidP="0061758E">
      <w:pPr>
        <w:jc w:val="both"/>
        <w:rPr>
          <w:rFonts w:ascii="Arial" w:eastAsia="Times New Roman" w:hAnsi="Arial" w:cs="Arial"/>
        </w:rPr>
      </w:pPr>
    </w:p>
    <w:p w14:paraId="37B79CF8" w14:textId="5E6262A4" w:rsidR="0061758E" w:rsidRPr="0093012B" w:rsidRDefault="0061758E" w:rsidP="0061758E">
      <w:pPr>
        <w:jc w:val="both"/>
        <w:rPr>
          <w:rFonts w:ascii="Arial" w:eastAsia="Times New Roman" w:hAnsi="Arial" w:cs="Arial"/>
        </w:rPr>
      </w:pPr>
      <w:r w:rsidRPr="0093012B">
        <w:rPr>
          <w:rFonts w:ascii="Arial" w:eastAsia="Times New Roman" w:hAnsi="Arial" w:cs="Arial"/>
          <w:b/>
          <w:bCs/>
          <w:i/>
          <w:iCs/>
          <w:color w:val="000000"/>
        </w:rPr>
        <w:t>Artículo 7º. Traslado a la Contraloría General de la República.</w:t>
      </w:r>
      <w:r w:rsidRPr="0093012B">
        <w:rPr>
          <w:rFonts w:ascii="Arial" w:eastAsia="Times New Roman" w:hAnsi="Arial" w:cs="Arial"/>
          <w:color w:val="000000"/>
        </w:rPr>
        <w:t xml:space="preserve"> Las autoridades en materia penal y en materia disciplinaria pondrán en conocimiento de la Contraloría General de la República, toda evidencia que, con motivo de las investigaciones y procesos en casos regulados por la presente ley, implique la ineficiente o antieconómica gestión de los recursos destinados a la prestación de los servicios de salud, para que se adopten las medidas de control fiscal </w:t>
      </w:r>
      <w:r w:rsidR="00BE0339">
        <w:rPr>
          <w:rFonts w:ascii="Arial" w:eastAsia="Times New Roman" w:hAnsi="Arial" w:cs="Arial"/>
          <w:color w:val="000000"/>
        </w:rPr>
        <w:t xml:space="preserve">preventivo, concomitante, </w:t>
      </w:r>
      <w:r w:rsidRPr="0093012B">
        <w:rPr>
          <w:rFonts w:ascii="Arial" w:eastAsia="Times New Roman" w:hAnsi="Arial" w:cs="Arial"/>
          <w:color w:val="000000"/>
        </w:rPr>
        <w:t>posterior o de responsabilidad fiscal que correspondan. Para tales eventos el Contralor General de la República, en ejercicio de sus atribuciones constitucionales, adoptará las medidas especializadas de control</w:t>
      </w:r>
      <w:r w:rsidR="00BE0339">
        <w:rPr>
          <w:rFonts w:ascii="Arial" w:eastAsia="Times New Roman" w:hAnsi="Arial" w:cs="Arial"/>
          <w:color w:val="000000"/>
        </w:rPr>
        <w:t xml:space="preserve"> preventivo, concomitante o</w:t>
      </w:r>
      <w:r w:rsidRPr="0093012B">
        <w:rPr>
          <w:rFonts w:ascii="Arial" w:eastAsia="Times New Roman" w:hAnsi="Arial" w:cs="Arial"/>
          <w:color w:val="000000"/>
        </w:rPr>
        <w:t xml:space="preserve"> posterior para evaluar en los procedimientos de auditoría respectivos, el cumplimiento, desempeño y adecuada utilización de </w:t>
      </w:r>
      <w:r w:rsidR="00BE0339">
        <w:rPr>
          <w:rFonts w:ascii="Arial" w:eastAsia="Times New Roman" w:hAnsi="Arial" w:cs="Arial"/>
          <w:color w:val="000000"/>
        </w:rPr>
        <w:t xml:space="preserve">todos </w:t>
      </w:r>
      <w:r w:rsidRPr="0093012B">
        <w:rPr>
          <w:rFonts w:ascii="Arial" w:eastAsia="Times New Roman" w:hAnsi="Arial" w:cs="Arial"/>
          <w:color w:val="000000"/>
        </w:rPr>
        <w:t>los recursos públicos destinados a asegurar la prestación oportuna de los servicios de salud.</w:t>
      </w:r>
    </w:p>
    <w:p w14:paraId="1A0DB3AF" w14:textId="77777777" w:rsidR="0061758E" w:rsidRPr="0093012B" w:rsidRDefault="0061758E" w:rsidP="0061758E">
      <w:pPr>
        <w:jc w:val="both"/>
        <w:rPr>
          <w:rFonts w:ascii="Arial" w:eastAsia="Times New Roman" w:hAnsi="Arial" w:cs="Arial"/>
        </w:rPr>
      </w:pPr>
    </w:p>
    <w:p w14:paraId="1AB2EF08" w14:textId="6E61464B" w:rsidR="0061758E" w:rsidRPr="0093012B" w:rsidRDefault="0061758E" w:rsidP="0061758E">
      <w:pPr>
        <w:jc w:val="both"/>
        <w:rPr>
          <w:rFonts w:ascii="Arial" w:eastAsia="Times New Roman" w:hAnsi="Arial" w:cs="Arial"/>
        </w:rPr>
      </w:pPr>
      <w:r w:rsidRPr="0093012B">
        <w:rPr>
          <w:rFonts w:ascii="Arial" w:eastAsia="Times New Roman" w:hAnsi="Arial" w:cs="Arial"/>
          <w:b/>
          <w:bCs/>
          <w:i/>
          <w:iCs/>
          <w:color w:val="000000"/>
        </w:rPr>
        <w:t>Art</w:t>
      </w:r>
      <w:r w:rsidR="00A20652">
        <w:rPr>
          <w:rFonts w:ascii="Arial" w:eastAsia="Times New Roman" w:hAnsi="Arial" w:cs="Arial"/>
          <w:b/>
          <w:bCs/>
          <w:i/>
          <w:iCs/>
          <w:color w:val="000000"/>
        </w:rPr>
        <w:t xml:space="preserve">ículo 8°. Adiciónese dos </w:t>
      </w:r>
      <w:r w:rsidRPr="0093012B">
        <w:rPr>
          <w:rFonts w:ascii="Arial" w:eastAsia="Times New Roman" w:hAnsi="Arial" w:cs="Arial"/>
          <w:b/>
          <w:bCs/>
          <w:i/>
          <w:iCs/>
          <w:color w:val="000000"/>
        </w:rPr>
        <w:t>numeral</w:t>
      </w:r>
      <w:r w:rsidR="00A20652">
        <w:rPr>
          <w:rFonts w:ascii="Arial" w:eastAsia="Times New Roman" w:hAnsi="Arial" w:cs="Arial"/>
          <w:b/>
          <w:bCs/>
          <w:i/>
          <w:iCs/>
          <w:color w:val="000000"/>
        </w:rPr>
        <w:t>es</w:t>
      </w:r>
      <w:r w:rsidRPr="0093012B">
        <w:rPr>
          <w:rFonts w:ascii="Arial" w:eastAsia="Times New Roman" w:hAnsi="Arial" w:cs="Arial"/>
          <w:b/>
          <w:bCs/>
          <w:i/>
          <w:iCs/>
          <w:color w:val="000000"/>
        </w:rPr>
        <w:t xml:space="preserve"> nuevo</w:t>
      </w:r>
      <w:r w:rsidR="00A20652">
        <w:rPr>
          <w:rFonts w:ascii="Arial" w:eastAsia="Times New Roman" w:hAnsi="Arial" w:cs="Arial"/>
          <w:b/>
          <w:bCs/>
          <w:i/>
          <w:iCs/>
          <w:color w:val="000000"/>
        </w:rPr>
        <w:t>s</w:t>
      </w:r>
      <w:r w:rsidRPr="0093012B">
        <w:rPr>
          <w:rFonts w:ascii="Arial" w:eastAsia="Times New Roman" w:hAnsi="Arial" w:cs="Arial"/>
          <w:b/>
          <w:bCs/>
          <w:i/>
          <w:iCs/>
          <w:color w:val="000000"/>
        </w:rPr>
        <w:t xml:space="preserve"> al artículo 130 de la Ley 1438 de 2011, modificado por la Ley 1949 de 2019, el cual quedará así:</w:t>
      </w:r>
    </w:p>
    <w:p w14:paraId="64C90D68" w14:textId="77777777" w:rsidR="0061758E" w:rsidRDefault="0061758E" w:rsidP="0061758E">
      <w:pPr>
        <w:spacing w:before="240" w:after="240"/>
        <w:ind w:left="720"/>
        <w:jc w:val="both"/>
        <w:rPr>
          <w:rFonts w:ascii="Arial" w:eastAsia="Times New Roman" w:hAnsi="Arial" w:cs="Arial"/>
          <w:color w:val="000000"/>
        </w:rPr>
      </w:pPr>
      <w:r w:rsidRPr="0093012B">
        <w:rPr>
          <w:rFonts w:ascii="Arial" w:eastAsia="Times New Roman" w:hAnsi="Arial" w:cs="Arial"/>
          <w:b/>
          <w:bCs/>
          <w:color w:val="000000"/>
          <w:u w:val="single"/>
        </w:rPr>
        <w:t>“</w:t>
      </w:r>
      <w:r w:rsidRPr="0093012B">
        <w:rPr>
          <w:rFonts w:ascii="Arial" w:eastAsia="Times New Roman" w:hAnsi="Arial" w:cs="Arial"/>
          <w:b/>
          <w:bCs/>
          <w:i/>
          <w:iCs/>
          <w:color w:val="000000"/>
        </w:rPr>
        <w:t>22.</w:t>
      </w:r>
      <w:r w:rsidRPr="0093012B">
        <w:rPr>
          <w:rFonts w:ascii="Arial" w:eastAsia="Times New Roman" w:hAnsi="Arial" w:cs="Arial"/>
          <w:i/>
          <w:iCs/>
          <w:color w:val="000000"/>
        </w:rPr>
        <w:t xml:space="preserve"> Negar o presentar demoras sin justa causa, o que se reduzcan a razones económicas, para el acceso a servicios de consulta por medicina especializada, tratamientos, medicamentos y demás asistencias necesarias para el diagnóstico y atención oportuna que garantice el derecho fundamental a la salud</w:t>
      </w:r>
      <w:r w:rsidRPr="0093012B">
        <w:rPr>
          <w:rFonts w:ascii="Arial" w:eastAsia="Times New Roman" w:hAnsi="Arial" w:cs="Arial"/>
          <w:color w:val="000000"/>
        </w:rPr>
        <w:t>”.</w:t>
      </w:r>
    </w:p>
    <w:p w14:paraId="24D2AC33" w14:textId="3DA7FAED" w:rsidR="00A20652" w:rsidRPr="00A20652" w:rsidRDefault="00A20652" w:rsidP="0061758E">
      <w:pPr>
        <w:spacing w:before="240" w:after="240"/>
        <w:ind w:left="720"/>
        <w:jc w:val="both"/>
        <w:rPr>
          <w:rFonts w:ascii="Arial" w:eastAsia="Times New Roman" w:hAnsi="Arial" w:cs="Arial"/>
        </w:rPr>
      </w:pPr>
      <w:r w:rsidRPr="0068320C">
        <w:rPr>
          <w:rFonts w:ascii="Arial" w:eastAsia="Times New Roman" w:hAnsi="Arial" w:cs="Arial"/>
          <w:b/>
          <w:bCs/>
          <w:color w:val="000000"/>
        </w:rPr>
        <w:t>23.</w:t>
      </w:r>
      <w:r w:rsidRPr="00A20652">
        <w:rPr>
          <w:rFonts w:ascii="Arial" w:eastAsia="Times New Roman" w:hAnsi="Arial" w:cs="Arial"/>
          <w:bCs/>
          <w:color w:val="000000"/>
        </w:rPr>
        <w:t xml:space="preserve"> Emitir autorizaciones con códigos erróneos, que dificulten la realización de exámenes diagnósticos.</w:t>
      </w:r>
    </w:p>
    <w:p w14:paraId="4BC765F7" w14:textId="77777777" w:rsidR="00864953" w:rsidRDefault="00864953" w:rsidP="0061758E">
      <w:pPr>
        <w:jc w:val="center"/>
        <w:rPr>
          <w:rFonts w:ascii="Arial" w:eastAsia="Times New Roman" w:hAnsi="Arial" w:cs="Arial"/>
          <w:b/>
          <w:bCs/>
          <w:color w:val="000000"/>
        </w:rPr>
      </w:pPr>
    </w:p>
    <w:p w14:paraId="10142A46"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CAPÍTULO III</w:t>
      </w:r>
    </w:p>
    <w:p w14:paraId="70A66A96"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INSTANCIAS DE ACCESO AL DERECHO FUNDAMENTAL A LA SALUD</w:t>
      </w:r>
    </w:p>
    <w:p w14:paraId="3B53EE4F" w14:textId="77777777" w:rsidR="0061758E" w:rsidRPr="0093012B" w:rsidRDefault="0061758E" w:rsidP="0061758E">
      <w:pPr>
        <w:jc w:val="both"/>
        <w:rPr>
          <w:rFonts w:ascii="Arial" w:eastAsia="Times New Roman" w:hAnsi="Arial" w:cs="Arial"/>
        </w:rPr>
      </w:pPr>
    </w:p>
    <w:p w14:paraId="1DEA233E"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i/>
          <w:iCs/>
          <w:color w:val="000000"/>
        </w:rPr>
        <w:t>Artículo 9° (NUEVO). Comisión Nacional de Seguimiento al Goce Efectivo del Derecho Fundamental a la Salud.</w:t>
      </w:r>
      <w:r w:rsidRPr="0093012B">
        <w:rPr>
          <w:rFonts w:ascii="Arial" w:eastAsia="Times New Roman" w:hAnsi="Arial" w:cs="Arial"/>
          <w:b/>
          <w:bCs/>
          <w:color w:val="000000"/>
        </w:rPr>
        <w:t xml:space="preserve"> </w:t>
      </w:r>
      <w:r w:rsidRPr="0093012B">
        <w:rPr>
          <w:rFonts w:ascii="Arial" w:eastAsia="Times New Roman" w:hAnsi="Arial" w:cs="Arial"/>
          <w:color w:val="000000"/>
        </w:rPr>
        <w:t>Créese la Comisión Nacional de seguimiento al Goce Efectivo del Derecho Fundamental a la Salud, en el marco del artículo 7 de la Ley 1751 de 2015 o de aquella que la modifique o complemente. </w:t>
      </w:r>
    </w:p>
    <w:p w14:paraId="3A56D37F" w14:textId="77777777" w:rsidR="0061758E" w:rsidRPr="0093012B" w:rsidRDefault="0061758E" w:rsidP="0061758E">
      <w:pPr>
        <w:jc w:val="both"/>
        <w:rPr>
          <w:rFonts w:ascii="Arial" w:eastAsia="Times New Roman" w:hAnsi="Arial" w:cs="Arial"/>
        </w:rPr>
      </w:pPr>
    </w:p>
    <w:p w14:paraId="2FFC7E0A" w14:textId="77777777" w:rsidR="0061758E" w:rsidRPr="0093012B" w:rsidRDefault="0061758E" w:rsidP="0061758E">
      <w:pPr>
        <w:jc w:val="both"/>
        <w:rPr>
          <w:rFonts w:ascii="Arial" w:eastAsia="Times New Roman" w:hAnsi="Arial" w:cs="Arial"/>
        </w:rPr>
      </w:pPr>
      <w:r w:rsidRPr="0093012B">
        <w:rPr>
          <w:rFonts w:ascii="Arial" w:eastAsia="Times New Roman" w:hAnsi="Arial" w:cs="Arial"/>
          <w:color w:val="000000"/>
        </w:rPr>
        <w:lastRenderedPageBreak/>
        <w:t>Su función corresponderá a la evaluación anual del goce efectivo del derecho fundamental a la salud por parte de los usuarios, en función de los elementos esenciales de accesibilidad, disponibilidad, continuidad, aceptabilidad y calidad en el Sistema General de Seguridad Social en Salud y sus agentes.</w:t>
      </w:r>
    </w:p>
    <w:p w14:paraId="249A4721" w14:textId="77777777" w:rsidR="0061758E" w:rsidRPr="0093012B" w:rsidRDefault="0061758E" w:rsidP="0061758E">
      <w:pPr>
        <w:jc w:val="both"/>
        <w:rPr>
          <w:rFonts w:ascii="Arial" w:eastAsia="Times New Roman" w:hAnsi="Arial" w:cs="Arial"/>
        </w:rPr>
      </w:pPr>
      <w:r w:rsidRPr="0093012B">
        <w:rPr>
          <w:rFonts w:ascii="Arial" w:eastAsia="Times New Roman" w:hAnsi="Arial" w:cs="Arial"/>
          <w:color w:val="000000"/>
        </w:rPr>
        <w:t>La Comisión será un órgano consultor, con carácter vinculante, para que los entes gubernamentales del sector salud y protección social formulen, implementen y evalúen políticas públicas en salud.</w:t>
      </w:r>
    </w:p>
    <w:p w14:paraId="2D21E4ED" w14:textId="77777777" w:rsidR="0061758E" w:rsidRPr="0093012B" w:rsidRDefault="0061758E" w:rsidP="0061758E">
      <w:pPr>
        <w:jc w:val="both"/>
        <w:rPr>
          <w:rFonts w:ascii="Arial" w:eastAsia="Times New Roman" w:hAnsi="Arial" w:cs="Arial"/>
        </w:rPr>
      </w:pPr>
      <w:r w:rsidRPr="0093012B">
        <w:rPr>
          <w:rFonts w:ascii="Arial" w:eastAsia="Times New Roman" w:hAnsi="Arial" w:cs="Arial"/>
          <w:color w:val="000000"/>
        </w:rPr>
        <w:t>La Comisión estará conformado por:</w:t>
      </w:r>
    </w:p>
    <w:p w14:paraId="3AD3F21C"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El (la) Ministro (a) de Salud y Protección Social, quien lo presidirá;</w:t>
      </w:r>
    </w:p>
    <w:p w14:paraId="6FFBF123"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El (a) Procurador (a) General de la Nación;</w:t>
      </w:r>
    </w:p>
    <w:p w14:paraId="2F5ECB2B"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El (la) Contralor (a) General de la Nación;</w:t>
      </w:r>
    </w:p>
    <w:p w14:paraId="62A50969"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El (la) Fiscal General de la Nación;</w:t>
      </w:r>
    </w:p>
    <w:p w14:paraId="7066E459"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El (la) Defensor (a) del Pueblo de Colombia;</w:t>
      </w:r>
    </w:p>
    <w:p w14:paraId="3653170E"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El (la) Superintendente Nacional de Salud;</w:t>
      </w:r>
    </w:p>
    <w:p w14:paraId="2CA83D24"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El (la) Director (a) del Instituto Nacional de Salud;</w:t>
      </w:r>
    </w:p>
    <w:p w14:paraId="4D3E6BBD"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Dos (2) delegados (as) de las agremiaciones de las EAPB.</w:t>
      </w:r>
    </w:p>
    <w:p w14:paraId="6EB80D72"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Dos (2) delegados (as) de las agremiaciones de las IPS.</w:t>
      </w:r>
    </w:p>
    <w:p w14:paraId="25E8BBD0"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Tres (3) delegados (as) de las organizaciones y agremiaciones del talento humano en salud.</w:t>
      </w:r>
    </w:p>
    <w:p w14:paraId="6C79D587"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Un (1) delegado (a) de las personerías municipales y distritales;</w:t>
      </w:r>
    </w:p>
    <w:p w14:paraId="19019A60"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Tres (3) delegados (as) de las asociaciones de usuarios y pacientes;</w:t>
      </w:r>
    </w:p>
    <w:p w14:paraId="6D8C11F0"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Tres (3) delegados (as) de las organizaciones de pacientes con enfermedades de alto costo;</w:t>
      </w:r>
    </w:p>
    <w:p w14:paraId="319925D1"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Tres (3) delegados (as) de las Defensorías del Usuario en Salud de que trata la Ley 1122 de 2007.</w:t>
      </w:r>
    </w:p>
    <w:p w14:paraId="5B4C7FB1" w14:textId="77777777" w:rsidR="0061758E" w:rsidRPr="0093012B" w:rsidRDefault="0061758E" w:rsidP="0061758E">
      <w:pPr>
        <w:numPr>
          <w:ilvl w:val="0"/>
          <w:numId w:val="55"/>
        </w:numPr>
        <w:spacing w:after="0"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Un (1) delegado (a) de la Rama Judicial;</w:t>
      </w:r>
    </w:p>
    <w:p w14:paraId="20CB8F0E" w14:textId="77777777" w:rsidR="0061758E" w:rsidRPr="0093012B" w:rsidRDefault="0061758E" w:rsidP="0061758E">
      <w:pPr>
        <w:numPr>
          <w:ilvl w:val="0"/>
          <w:numId w:val="55"/>
        </w:numPr>
        <w:spacing w:line="240" w:lineRule="auto"/>
        <w:jc w:val="both"/>
        <w:textAlignment w:val="baseline"/>
        <w:rPr>
          <w:rFonts w:ascii="Arial" w:eastAsia="Times New Roman" w:hAnsi="Arial" w:cs="Arial"/>
          <w:color w:val="000000"/>
        </w:rPr>
      </w:pPr>
      <w:r w:rsidRPr="0093012B">
        <w:rPr>
          <w:rFonts w:ascii="Arial" w:eastAsia="Times New Roman" w:hAnsi="Arial" w:cs="Arial"/>
          <w:color w:val="000000"/>
        </w:rPr>
        <w:t>Un (1) delegado (a) de las veedurías en salud;</w:t>
      </w:r>
    </w:p>
    <w:p w14:paraId="3C3BD930" w14:textId="77777777" w:rsidR="0061758E" w:rsidRPr="0093012B" w:rsidRDefault="0061758E" w:rsidP="0061758E">
      <w:pPr>
        <w:jc w:val="both"/>
        <w:rPr>
          <w:rFonts w:ascii="Arial" w:eastAsia="Times New Roman" w:hAnsi="Arial" w:cs="Arial"/>
        </w:rPr>
      </w:pPr>
    </w:p>
    <w:p w14:paraId="5F07DCC1"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color w:val="000000"/>
        </w:rPr>
        <w:t xml:space="preserve">Parágrafo 1. </w:t>
      </w:r>
      <w:r w:rsidRPr="0093012B">
        <w:rPr>
          <w:rFonts w:ascii="Arial" w:eastAsia="Times New Roman" w:hAnsi="Arial" w:cs="Arial"/>
          <w:color w:val="000000"/>
        </w:rPr>
        <w:t>Para la construcción de dicho informe, la Comisión podrá recibir conceptos de cualquier entidad del Gobierno nacional y organizaciones de la sociedad civil, para lo cual se otorgará de 10 (días) días calendario para el cumplimiento del requerimiento presentado por la Comisión Nacional de Seguimiento al Goce Efectivo del Derecho Fundamental a la Salud.</w:t>
      </w:r>
    </w:p>
    <w:p w14:paraId="3CA39EC2"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color w:val="000000"/>
        </w:rPr>
        <w:t>Parágrafo 2.</w:t>
      </w:r>
      <w:r w:rsidRPr="0093012B">
        <w:rPr>
          <w:rFonts w:ascii="Arial" w:eastAsia="Times New Roman" w:hAnsi="Arial" w:cs="Arial"/>
          <w:color w:val="000000"/>
        </w:rPr>
        <w:t xml:space="preserve"> En un plazo de seis (6) meses contados a partir de la entrada en vigencia de la presente Ley, el Ministerio de Salud y Protección Social deberá reglamentar el funcionamiento de la Comisión Nacional de Seguimiento al Goce Efectivo del Derecho Fundamental a la Salud.</w:t>
      </w:r>
    </w:p>
    <w:p w14:paraId="6C0E5B74" w14:textId="77777777" w:rsidR="0061758E" w:rsidRPr="0093012B" w:rsidRDefault="0061758E" w:rsidP="0061758E">
      <w:pPr>
        <w:jc w:val="both"/>
        <w:rPr>
          <w:rFonts w:ascii="Arial" w:eastAsia="Times New Roman" w:hAnsi="Arial" w:cs="Arial"/>
        </w:rPr>
      </w:pPr>
    </w:p>
    <w:p w14:paraId="7DD76F51"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color w:val="000000"/>
        </w:rPr>
        <w:t xml:space="preserve">Artículo </w:t>
      </w:r>
      <w:r w:rsidRPr="0093012B">
        <w:rPr>
          <w:rFonts w:ascii="Arial" w:eastAsia="Times New Roman" w:hAnsi="Arial" w:cs="Arial"/>
          <w:b/>
          <w:bCs/>
          <w:i/>
          <w:iCs/>
          <w:color w:val="000000"/>
        </w:rPr>
        <w:t>10°. Comunicación efectiva para el acceso al derecho fundamental a la salud.</w:t>
      </w:r>
      <w:r w:rsidRPr="0093012B">
        <w:rPr>
          <w:rFonts w:ascii="Arial" w:eastAsia="Times New Roman" w:hAnsi="Arial" w:cs="Arial"/>
          <w:color w:val="000000"/>
        </w:rPr>
        <w:t xml:space="preserve"> En un plazo no mayor a seis (6) meses contados a partir de </w:t>
      </w:r>
      <w:r w:rsidRPr="0093012B">
        <w:rPr>
          <w:rFonts w:ascii="Arial" w:eastAsia="Times New Roman" w:hAnsi="Arial" w:cs="Arial"/>
          <w:b/>
          <w:bCs/>
          <w:color w:val="000000"/>
        </w:rPr>
        <w:t>la promulgación de</w:t>
      </w:r>
      <w:r w:rsidRPr="0093012B">
        <w:rPr>
          <w:rFonts w:ascii="Arial" w:eastAsia="Times New Roman" w:hAnsi="Arial" w:cs="Arial"/>
          <w:color w:val="000000"/>
        </w:rPr>
        <w:t xml:space="preserve"> la presente Ley, el Ministerio de Salud y Protección Social</w:t>
      </w:r>
      <w:r w:rsidRPr="0093012B">
        <w:rPr>
          <w:rFonts w:ascii="Arial" w:eastAsia="Times New Roman" w:hAnsi="Arial" w:cs="Arial"/>
          <w:strike/>
          <w:color w:val="000000"/>
        </w:rPr>
        <w:t>,</w:t>
      </w:r>
      <w:r w:rsidRPr="0093012B">
        <w:rPr>
          <w:rFonts w:ascii="Arial" w:eastAsia="Times New Roman" w:hAnsi="Arial" w:cs="Arial"/>
          <w:color w:val="000000"/>
        </w:rPr>
        <w:t xml:space="preserve"> diseñará</w:t>
      </w:r>
      <w:r w:rsidRPr="0093012B">
        <w:rPr>
          <w:rFonts w:ascii="Arial" w:eastAsia="Times New Roman" w:hAnsi="Arial" w:cs="Arial"/>
          <w:strike/>
          <w:color w:val="000000"/>
        </w:rPr>
        <w:t>n</w:t>
      </w:r>
      <w:r w:rsidRPr="0093012B">
        <w:rPr>
          <w:rFonts w:ascii="Arial" w:eastAsia="Times New Roman" w:hAnsi="Arial" w:cs="Arial"/>
          <w:color w:val="000000"/>
        </w:rPr>
        <w:t xml:space="preserve"> estrategias comunicativas con aplicabilidad obligatoria a los agentes del Sistema General de Seguridad Social en Salud, a través de las cuales se  dará</w:t>
      </w:r>
      <w:r w:rsidRPr="0093012B">
        <w:rPr>
          <w:rFonts w:ascii="Arial" w:eastAsia="Times New Roman" w:hAnsi="Arial" w:cs="Arial"/>
          <w:b/>
          <w:bCs/>
          <w:color w:val="000000"/>
        </w:rPr>
        <w:t xml:space="preserve"> </w:t>
      </w:r>
      <w:r w:rsidRPr="0093012B">
        <w:rPr>
          <w:rFonts w:ascii="Arial" w:eastAsia="Times New Roman" w:hAnsi="Arial" w:cs="Arial"/>
          <w:color w:val="000000"/>
        </w:rPr>
        <w:t xml:space="preserve">a conocer a los usuarios los plazos adecuados para acceder a consulta especializada, condiciones para el acceso y/o negación de tratamientos y </w:t>
      </w:r>
      <w:r w:rsidRPr="0093012B">
        <w:rPr>
          <w:rFonts w:ascii="Arial" w:eastAsia="Times New Roman" w:hAnsi="Arial" w:cs="Arial"/>
          <w:color w:val="000000"/>
        </w:rPr>
        <w:lastRenderedPageBreak/>
        <w:t>medicamentos, y demás aspectos que hacen parte de la normatividad vigente</w:t>
      </w:r>
      <w:r w:rsidRPr="0093012B">
        <w:rPr>
          <w:rFonts w:ascii="Arial" w:eastAsia="Times New Roman" w:hAnsi="Arial" w:cs="Arial"/>
          <w:strike/>
          <w:color w:val="000000"/>
        </w:rPr>
        <w:t>;</w:t>
      </w:r>
      <w:r w:rsidRPr="0093012B">
        <w:rPr>
          <w:rFonts w:ascii="Arial" w:eastAsia="Times New Roman" w:hAnsi="Arial" w:cs="Arial"/>
          <w:color w:val="000000"/>
        </w:rPr>
        <w:t xml:space="preserve"> relacionados con el derecho fundamental a la salud.</w:t>
      </w:r>
    </w:p>
    <w:p w14:paraId="4CD67222" w14:textId="77777777" w:rsidR="0061758E" w:rsidRPr="0093012B" w:rsidRDefault="0061758E" w:rsidP="0061758E">
      <w:pPr>
        <w:jc w:val="both"/>
        <w:rPr>
          <w:rFonts w:ascii="Arial" w:eastAsia="Times New Roman" w:hAnsi="Arial" w:cs="Arial"/>
        </w:rPr>
      </w:pPr>
    </w:p>
    <w:p w14:paraId="59E557FE"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CAPÍTULO IV</w:t>
      </w:r>
    </w:p>
    <w:p w14:paraId="4E6D9CB7" w14:textId="77777777" w:rsidR="0061758E" w:rsidRPr="0093012B" w:rsidRDefault="0061758E" w:rsidP="0061758E">
      <w:pPr>
        <w:jc w:val="center"/>
        <w:rPr>
          <w:rFonts w:ascii="Arial" w:eastAsia="Times New Roman" w:hAnsi="Arial" w:cs="Arial"/>
        </w:rPr>
      </w:pPr>
      <w:r w:rsidRPr="0093012B">
        <w:rPr>
          <w:rFonts w:ascii="Arial" w:eastAsia="Times New Roman" w:hAnsi="Arial" w:cs="Arial"/>
          <w:b/>
          <w:bCs/>
          <w:color w:val="000000"/>
        </w:rPr>
        <w:t>DISPOSICIONES FINALES</w:t>
      </w:r>
    </w:p>
    <w:p w14:paraId="5E21F278" w14:textId="77777777" w:rsidR="0061758E" w:rsidRPr="0093012B" w:rsidRDefault="0061758E" w:rsidP="0061758E">
      <w:pPr>
        <w:jc w:val="both"/>
        <w:rPr>
          <w:rFonts w:ascii="Arial" w:eastAsia="Times New Roman" w:hAnsi="Arial" w:cs="Arial"/>
        </w:rPr>
      </w:pPr>
    </w:p>
    <w:p w14:paraId="575FC533" w14:textId="77777777" w:rsidR="0061758E" w:rsidRPr="0093012B" w:rsidRDefault="0061758E" w:rsidP="0061758E">
      <w:pPr>
        <w:jc w:val="both"/>
        <w:rPr>
          <w:rFonts w:ascii="Arial" w:eastAsia="Times New Roman" w:hAnsi="Arial" w:cs="Arial"/>
        </w:rPr>
      </w:pPr>
      <w:r w:rsidRPr="0093012B">
        <w:rPr>
          <w:rFonts w:ascii="Arial" w:eastAsia="Times New Roman" w:hAnsi="Arial" w:cs="Arial"/>
          <w:b/>
          <w:bCs/>
          <w:i/>
          <w:iCs/>
          <w:color w:val="000000"/>
        </w:rPr>
        <w:t>Artículo 11°. Vigencia</w:t>
      </w:r>
      <w:r w:rsidRPr="0093012B">
        <w:rPr>
          <w:rFonts w:ascii="Arial" w:eastAsia="Times New Roman" w:hAnsi="Arial" w:cs="Arial"/>
          <w:i/>
          <w:iCs/>
          <w:color w:val="000000"/>
        </w:rPr>
        <w:t>.</w:t>
      </w:r>
      <w:r w:rsidRPr="0093012B">
        <w:rPr>
          <w:rFonts w:ascii="Arial" w:eastAsia="Times New Roman" w:hAnsi="Arial" w:cs="Arial"/>
          <w:color w:val="000000"/>
        </w:rPr>
        <w:t xml:space="preserve"> La presente ley rige a partir de su promulgación y deroga todas las disposiciones que le sean contrarias.</w:t>
      </w:r>
    </w:p>
    <w:p w14:paraId="21122BE6" w14:textId="77777777" w:rsidR="00C73338" w:rsidRPr="0061758E" w:rsidRDefault="00C73338" w:rsidP="00770E18">
      <w:pPr>
        <w:spacing w:after="240"/>
        <w:jc w:val="both"/>
        <w:rPr>
          <w:rFonts w:ascii="Arial" w:eastAsia="Times New Roman" w:hAnsi="Arial" w:cs="Arial"/>
        </w:rPr>
      </w:pPr>
    </w:p>
    <w:p w14:paraId="403520D5" w14:textId="099C4825" w:rsidR="00BF34E3" w:rsidRPr="0061758E" w:rsidRDefault="00ED247F" w:rsidP="00EC58E5">
      <w:pPr>
        <w:jc w:val="both"/>
        <w:rPr>
          <w:rFonts w:ascii="Arial" w:hAnsi="Arial" w:cs="Arial"/>
          <w:lang w:val="es-ES" w:eastAsia="es-ES"/>
        </w:rPr>
      </w:pPr>
      <w:r w:rsidRPr="0061758E">
        <w:rPr>
          <w:rFonts w:ascii="Arial" w:hAnsi="Arial" w:cs="Arial"/>
        </w:rPr>
        <w:t>E</w:t>
      </w:r>
      <w:r w:rsidR="002F5EF2" w:rsidRPr="0061758E">
        <w:rPr>
          <w:rFonts w:ascii="Arial" w:hAnsi="Arial" w:cs="Arial"/>
        </w:rPr>
        <w:t>n</w:t>
      </w:r>
      <w:r w:rsidR="00CA4DEE" w:rsidRPr="0061758E">
        <w:rPr>
          <w:rFonts w:ascii="Arial" w:hAnsi="Arial" w:cs="Arial"/>
          <w:lang w:val="es-ES" w:eastAsia="es-ES"/>
        </w:rPr>
        <w:t xml:space="preserve"> los ant</w:t>
      </w:r>
      <w:r w:rsidR="00864953">
        <w:rPr>
          <w:rFonts w:ascii="Arial" w:hAnsi="Arial" w:cs="Arial"/>
          <w:lang w:val="es-ES" w:eastAsia="es-ES"/>
        </w:rPr>
        <w:t>eriores términos fue aprobado co</w:t>
      </w:r>
      <w:r w:rsidR="00CA4DEE" w:rsidRPr="0061758E">
        <w:rPr>
          <w:rFonts w:ascii="Arial" w:hAnsi="Arial" w:cs="Arial"/>
          <w:lang w:val="es-ES" w:eastAsia="es-ES"/>
        </w:rPr>
        <w:t>n modificacio</w:t>
      </w:r>
      <w:r w:rsidR="00EC58E5" w:rsidRPr="0061758E">
        <w:rPr>
          <w:rFonts w:ascii="Arial" w:hAnsi="Arial" w:cs="Arial"/>
          <w:lang w:val="es-ES" w:eastAsia="es-ES"/>
        </w:rPr>
        <w:t xml:space="preserve">nes el presente Proyecto de Ley </w:t>
      </w:r>
      <w:r w:rsidR="007F6D4F" w:rsidRPr="0061758E">
        <w:rPr>
          <w:rFonts w:ascii="Arial" w:hAnsi="Arial" w:cs="Arial"/>
          <w:lang w:val="es-ES" w:eastAsia="es-ES"/>
        </w:rPr>
        <w:t>según consta en Acta</w:t>
      </w:r>
      <w:r w:rsidR="00167AA0">
        <w:rPr>
          <w:rFonts w:ascii="Arial" w:hAnsi="Arial" w:cs="Arial"/>
          <w:lang w:val="es-ES" w:eastAsia="es-ES"/>
        </w:rPr>
        <w:t>s</w:t>
      </w:r>
      <w:r w:rsidR="008A58CD" w:rsidRPr="0061758E">
        <w:rPr>
          <w:rFonts w:ascii="Arial" w:hAnsi="Arial" w:cs="Arial"/>
          <w:lang w:val="es-ES" w:eastAsia="es-ES"/>
        </w:rPr>
        <w:t xml:space="preserve"> </w:t>
      </w:r>
      <w:r w:rsidR="00CA4DEE" w:rsidRPr="0061758E">
        <w:rPr>
          <w:rFonts w:ascii="Arial" w:hAnsi="Arial" w:cs="Arial"/>
          <w:lang w:val="es-ES" w:eastAsia="es-ES"/>
        </w:rPr>
        <w:t>No.</w:t>
      </w:r>
      <w:r w:rsidR="00273C85" w:rsidRPr="0061758E">
        <w:rPr>
          <w:rFonts w:ascii="Arial" w:hAnsi="Arial" w:cs="Arial"/>
          <w:lang w:val="es-ES" w:eastAsia="es-ES"/>
        </w:rPr>
        <w:t xml:space="preserve"> </w:t>
      </w:r>
      <w:r w:rsidR="00167AA0">
        <w:rPr>
          <w:rFonts w:ascii="Arial" w:hAnsi="Arial" w:cs="Arial"/>
          <w:lang w:val="es-ES" w:eastAsia="es-ES"/>
        </w:rPr>
        <w:t xml:space="preserve">32 de Sesión Presencial de Noviembre 24 de 2021 y Acta No. </w:t>
      </w:r>
      <w:r w:rsidR="003B5426" w:rsidRPr="0061758E">
        <w:rPr>
          <w:rFonts w:ascii="Arial" w:hAnsi="Arial" w:cs="Arial"/>
          <w:lang w:val="es-ES" w:eastAsia="es-ES"/>
        </w:rPr>
        <w:t>33</w:t>
      </w:r>
      <w:r w:rsidR="00273C85" w:rsidRPr="0061758E">
        <w:rPr>
          <w:rFonts w:ascii="Arial" w:hAnsi="Arial" w:cs="Arial"/>
          <w:lang w:val="es-ES" w:eastAsia="es-ES"/>
        </w:rPr>
        <w:t xml:space="preserve"> </w:t>
      </w:r>
      <w:r w:rsidR="001E0A8D" w:rsidRPr="0061758E">
        <w:rPr>
          <w:rFonts w:ascii="Arial" w:hAnsi="Arial" w:cs="Arial"/>
          <w:lang w:val="es-ES" w:eastAsia="es-ES"/>
        </w:rPr>
        <w:t xml:space="preserve">de Sesión Presencial de </w:t>
      </w:r>
      <w:r w:rsidR="00EC58E5" w:rsidRPr="0061758E">
        <w:rPr>
          <w:rFonts w:ascii="Arial" w:hAnsi="Arial" w:cs="Arial"/>
          <w:lang w:val="es-ES" w:eastAsia="es-ES"/>
        </w:rPr>
        <w:t xml:space="preserve">Noviembre </w:t>
      </w:r>
      <w:r w:rsidR="003B5426" w:rsidRPr="0061758E">
        <w:rPr>
          <w:rFonts w:ascii="Arial" w:hAnsi="Arial" w:cs="Arial"/>
          <w:lang w:val="es-ES" w:eastAsia="es-ES"/>
        </w:rPr>
        <w:t>30</w:t>
      </w:r>
      <w:r w:rsidR="00EC58E5" w:rsidRPr="0061758E">
        <w:rPr>
          <w:rFonts w:ascii="Arial" w:hAnsi="Arial" w:cs="Arial"/>
          <w:lang w:val="es-ES" w:eastAsia="es-ES"/>
        </w:rPr>
        <w:t xml:space="preserve"> de 202</w:t>
      </w:r>
      <w:r w:rsidR="007F6D4F" w:rsidRPr="0061758E">
        <w:rPr>
          <w:rFonts w:ascii="Arial" w:hAnsi="Arial" w:cs="Arial"/>
          <w:lang w:val="es-ES" w:eastAsia="es-ES"/>
        </w:rPr>
        <w:t>1</w:t>
      </w:r>
      <w:r w:rsidRPr="0061758E">
        <w:rPr>
          <w:rFonts w:ascii="Arial" w:hAnsi="Arial" w:cs="Arial"/>
          <w:lang w:val="es-ES" w:eastAsia="es-ES"/>
        </w:rPr>
        <w:t xml:space="preserve">. </w:t>
      </w:r>
      <w:r w:rsidR="00CA4DEE" w:rsidRPr="0061758E">
        <w:rPr>
          <w:rFonts w:ascii="Arial" w:hAnsi="Arial" w:cs="Arial"/>
          <w:lang w:val="es-ES" w:eastAsia="es-ES"/>
        </w:rPr>
        <w:t>Anunciado entre otras fechas,</w:t>
      </w:r>
      <w:r w:rsidR="00167AA0">
        <w:rPr>
          <w:rFonts w:ascii="Arial" w:hAnsi="Arial" w:cs="Arial"/>
          <w:lang w:val="es-ES" w:eastAsia="es-ES"/>
        </w:rPr>
        <w:t xml:space="preserve"> el 23 de Noviembre de 2021 según consta en Acta No. 31 de Sesión Presencial y</w:t>
      </w:r>
      <w:r w:rsidR="00CA4DEE" w:rsidRPr="0061758E">
        <w:rPr>
          <w:rFonts w:ascii="Arial" w:hAnsi="Arial" w:cs="Arial"/>
          <w:lang w:val="es-ES" w:eastAsia="es-ES"/>
        </w:rPr>
        <w:t xml:space="preserve"> el </w:t>
      </w:r>
      <w:r w:rsidR="003B5426" w:rsidRPr="0061758E">
        <w:rPr>
          <w:rFonts w:ascii="Arial" w:hAnsi="Arial" w:cs="Arial"/>
          <w:lang w:val="es-ES" w:eastAsia="es-ES"/>
        </w:rPr>
        <w:t>24</w:t>
      </w:r>
      <w:r w:rsidR="008A58CD" w:rsidRPr="0061758E">
        <w:rPr>
          <w:rFonts w:ascii="Arial" w:hAnsi="Arial" w:cs="Arial"/>
          <w:lang w:val="es-ES" w:eastAsia="es-ES"/>
        </w:rPr>
        <w:t xml:space="preserve"> de </w:t>
      </w:r>
      <w:r w:rsidR="007F6D4F" w:rsidRPr="0061758E">
        <w:rPr>
          <w:rFonts w:ascii="Arial" w:hAnsi="Arial" w:cs="Arial"/>
          <w:lang w:val="es-ES" w:eastAsia="es-ES"/>
        </w:rPr>
        <w:t xml:space="preserve">Noviembre </w:t>
      </w:r>
      <w:r w:rsidR="001E0A8D" w:rsidRPr="0061758E">
        <w:rPr>
          <w:rFonts w:ascii="Arial" w:hAnsi="Arial" w:cs="Arial"/>
          <w:lang w:val="es-ES" w:eastAsia="es-ES"/>
        </w:rPr>
        <w:t xml:space="preserve">de 2021 </w:t>
      </w:r>
      <w:r w:rsidR="00CA4DEE" w:rsidRPr="0061758E">
        <w:rPr>
          <w:rFonts w:ascii="Arial" w:hAnsi="Arial" w:cs="Arial"/>
          <w:lang w:val="es-ES" w:eastAsia="es-ES"/>
        </w:rPr>
        <w:t xml:space="preserve">según consta en Acta No. </w:t>
      </w:r>
      <w:r w:rsidR="003B5426" w:rsidRPr="0061758E">
        <w:rPr>
          <w:rFonts w:ascii="Arial" w:hAnsi="Arial" w:cs="Arial"/>
          <w:lang w:val="es-ES" w:eastAsia="es-ES"/>
        </w:rPr>
        <w:t>32</w:t>
      </w:r>
      <w:r w:rsidR="00CA4DEE" w:rsidRPr="0061758E">
        <w:rPr>
          <w:rFonts w:ascii="Arial" w:hAnsi="Arial" w:cs="Arial"/>
          <w:lang w:val="es-ES" w:eastAsia="es-ES"/>
        </w:rPr>
        <w:t xml:space="preserve"> de </w:t>
      </w:r>
      <w:r w:rsidR="00525DDD" w:rsidRPr="0061758E">
        <w:rPr>
          <w:rFonts w:ascii="Arial" w:hAnsi="Arial" w:cs="Arial"/>
          <w:lang w:val="es-ES" w:eastAsia="es-ES"/>
        </w:rPr>
        <w:t>S</w:t>
      </w:r>
      <w:r w:rsidR="00EC58E5" w:rsidRPr="0061758E">
        <w:rPr>
          <w:rFonts w:ascii="Arial" w:hAnsi="Arial" w:cs="Arial"/>
          <w:lang w:val="es-ES" w:eastAsia="es-ES"/>
        </w:rPr>
        <w:t xml:space="preserve">esión </w:t>
      </w:r>
      <w:r w:rsidR="001E0A8D" w:rsidRPr="0061758E">
        <w:rPr>
          <w:rFonts w:ascii="Arial" w:hAnsi="Arial" w:cs="Arial"/>
          <w:lang w:val="es-ES" w:eastAsia="es-ES"/>
        </w:rPr>
        <w:t>Presencial</w:t>
      </w:r>
      <w:r w:rsidRPr="0061758E">
        <w:rPr>
          <w:rFonts w:ascii="Arial" w:hAnsi="Arial" w:cs="Arial"/>
          <w:lang w:val="es-ES" w:eastAsia="es-ES"/>
        </w:rPr>
        <w:t>.</w:t>
      </w:r>
      <w:r w:rsidR="001E0A8D" w:rsidRPr="0061758E">
        <w:rPr>
          <w:rFonts w:ascii="Arial" w:eastAsia="Times New Roman" w:hAnsi="Arial" w:cs="Arial"/>
          <w:b/>
          <w:lang w:eastAsia="es-CO"/>
        </w:rPr>
        <w:t xml:space="preserve"> </w:t>
      </w:r>
    </w:p>
    <w:p w14:paraId="19051645" w14:textId="77777777" w:rsidR="00865F9B" w:rsidRDefault="00865F9B" w:rsidP="00DF170E">
      <w:pPr>
        <w:spacing w:after="0" w:line="240" w:lineRule="auto"/>
        <w:jc w:val="both"/>
        <w:rPr>
          <w:rFonts w:ascii="Arial" w:eastAsia="Times New Roman" w:hAnsi="Arial" w:cs="Arial"/>
          <w:b/>
          <w:lang w:eastAsia="es-CO"/>
        </w:rPr>
      </w:pPr>
    </w:p>
    <w:p w14:paraId="4B887407" w14:textId="77777777" w:rsidR="00167AA0" w:rsidRDefault="00167AA0" w:rsidP="00DF170E">
      <w:pPr>
        <w:spacing w:after="0" w:line="240" w:lineRule="auto"/>
        <w:jc w:val="both"/>
        <w:rPr>
          <w:rFonts w:ascii="Arial" w:eastAsia="Times New Roman" w:hAnsi="Arial" w:cs="Arial"/>
          <w:b/>
          <w:lang w:eastAsia="es-CO"/>
        </w:rPr>
      </w:pPr>
    </w:p>
    <w:p w14:paraId="73806588" w14:textId="77777777" w:rsidR="00BB3C7B" w:rsidRPr="0061758E" w:rsidRDefault="00BB3C7B" w:rsidP="00DF170E">
      <w:pPr>
        <w:spacing w:after="0" w:line="240" w:lineRule="auto"/>
        <w:jc w:val="both"/>
        <w:rPr>
          <w:rFonts w:ascii="Arial" w:eastAsia="Times New Roman" w:hAnsi="Arial" w:cs="Arial"/>
          <w:b/>
          <w:lang w:eastAsia="es-CO"/>
        </w:rPr>
      </w:pPr>
      <w:bookmarkStart w:id="0" w:name="_GoBack"/>
      <w:bookmarkEnd w:id="0"/>
    </w:p>
    <w:p w14:paraId="64A53FFE" w14:textId="77777777" w:rsidR="00494AAD" w:rsidRPr="0061758E" w:rsidRDefault="00494AAD" w:rsidP="00ED247F">
      <w:pPr>
        <w:spacing w:after="0" w:line="240" w:lineRule="auto"/>
        <w:jc w:val="both"/>
        <w:rPr>
          <w:rFonts w:ascii="Arial" w:eastAsia="Times New Roman" w:hAnsi="Arial" w:cs="Arial"/>
          <w:b/>
          <w:lang w:eastAsia="es-CO"/>
        </w:rPr>
      </w:pPr>
    </w:p>
    <w:p w14:paraId="608C17A5" w14:textId="1A603D41" w:rsidR="00ED247F" w:rsidRPr="0061758E" w:rsidRDefault="00167AA0" w:rsidP="00ED247F">
      <w:pPr>
        <w:spacing w:after="0" w:line="240" w:lineRule="auto"/>
        <w:jc w:val="both"/>
        <w:rPr>
          <w:rFonts w:ascii="Arial" w:eastAsia="Times New Roman" w:hAnsi="Arial" w:cs="Arial"/>
          <w:b/>
          <w:lang w:eastAsia="es-CO"/>
        </w:rPr>
      </w:pPr>
      <w:r>
        <w:rPr>
          <w:rFonts w:ascii="Arial" w:eastAsia="Times New Roman" w:hAnsi="Arial" w:cs="Arial"/>
          <w:b/>
          <w:lang w:eastAsia="es-CO"/>
        </w:rPr>
        <w:t>ALFREDO R. DELUQUE ZULETA</w:t>
      </w:r>
      <w:r w:rsidR="00742023" w:rsidRPr="0061758E">
        <w:rPr>
          <w:rFonts w:ascii="Arial" w:eastAsia="Times New Roman" w:hAnsi="Arial" w:cs="Arial"/>
          <w:b/>
          <w:lang w:eastAsia="es-CO"/>
        </w:rPr>
        <w:tab/>
      </w:r>
      <w:r w:rsidR="00742023" w:rsidRPr="0061758E">
        <w:rPr>
          <w:rFonts w:ascii="Arial" w:eastAsia="Times New Roman" w:hAnsi="Arial" w:cs="Arial"/>
          <w:b/>
          <w:lang w:eastAsia="es-CO"/>
        </w:rPr>
        <w:tab/>
      </w:r>
      <w:r w:rsidR="00742023" w:rsidRPr="0061758E">
        <w:rPr>
          <w:rFonts w:ascii="Arial" w:eastAsia="Times New Roman" w:hAnsi="Arial" w:cs="Arial"/>
          <w:b/>
          <w:lang w:eastAsia="es-CO"/>
        </w:rPr>
        <w:tab/>
      </w:r>
      <w:r w:rsidR="00ED247F" w:rsidRPr="0061758E">
        <w:rPr>
          <w:rFonts w:ascii="Arial" w:eastAsia="Times New Roman" w:hAnsi="Arial" w:cs="Arial"/>
          <w:b/>
          <w:lang w:eastAsia="es-CO"/>
        </w:rPr>
        <w:t>JULIO CÉSAR TRIANA QUINTERO</w:t>
      </w:r>
    </w:p>
    <w:p w14:paraId="744E25F8" w14:textId="791AA9AC" w:rsidR="00ED247F" w:rsidRPr="0061758E" w:rsidRDefault="003B5426" w:rsidP="00ED247F">
      <w:pPr>
        <w:spacing w:after="0" w:line="240" w:lineRule="auto"/>
        <w:jc w:val="both"/>
        <w:rPr>
          <w:rFonts w:ascii="Arial" w:eastAsia="Times New Roman" w:hAnsi="Arial" w:cs="Arial"/>
          <w:lang w:eastAsia="es-CO"/>
        </w:rPr>
      </w:pPr>
      <w:r w:rsidRPr="0061758E">
        <w:rPr>
          <w:rFonts w:ascii="Arial" w:eastAsia="Times New Roman" w:hAnsi="Arial" w:cs="Arial"/>
          <w:lang w:eastAsia="es-CO"/>
        </w:rPr>
        <w:t>Ponente C</w:t>
      </w:r>
      <w:r w:rsidR="00ED247F" w:rsidRPr="0061758E">
        <w:rPr>
          <w:rFonts w:ascii="Arial" w:eastAsia="Times New Roman" w:hAnsi="Arial" w:cs="Arial"/>
          <w:lang w:eastAsia="es-CO"/>
        </w:rPr>
        <w:t>oordinador</w:t>
      </w:r>
      <w:r w:rsidR="00ED247F" w:rsidRPr="0061758E">
        <w:rPr>
          <w:rFonts w:ascii="Arial" w:eastAsia="Times New Roman" w:hAnsi="Arial" w:cs="Arial"/>
          <w:lang w:eastAsia="es-CO"/>
        </w:rPr>
        <w:tab/>
      </w:r>
      <w:r w:rsidR="00ED247F" w:rsidRPr="0061758E">
        <w:rPr>
          <w:rFonts w:ascii="Arial" w:eastAsia="Times New Roman" w:hAnsi="Arial" w:cs="Arial"/>
          <w:lang w:eastAsia="es-CO"/>
        </w:rPr>
        <w:tab/>
      </w:r>
      <w:r w:rsidR="00ED247F" w:rsidRPr="0061758E">
        <w:rPr>
          <w:rFonts w:ascii="Arial" w:eastAsia="Times New Roman" w:hAnsi="Arial" w:cs="Arial"/>
          <w:lang w:eastAsia="es-CO"/>
        </w:rPr>
        <w:tab/>
      </w:r>
      <w:r w:rsidR="00ED247F" w:rsidRPr="0061758E">
        <w:rPr>
          <w:rFonts w:ascii="Arial" w:eastAsia="Times New Roman" w:hAnsi="Arial" w:cs="Arial"/>
          <w:lang w:eastAsia="es-CO"/>
        </w:rPr>
        <w:tab/>
      </w:r>
      <w:r w:rsidR="00ED247F" w:rsidRPr="0061758E">
        <w:rPr>
          <w:rFonts w:ascii="Arial" w:eastAsia="Times New Roman" w:hAnsi="Arial" w:cs="Arial"/>
          <w:lang w:eastAsia="es-CO"/>
        </w:rPr>
        <w:tab/>
        <w:t>Presidente</w:t>
      </w:r>
    </w:p>
    <w:p w14:paraId="75139BE4" w14:textId="77777777" w:rsidR="00ED247F" w:rsidRPr="0061758E" w:rsidRDefault="00ED247F" w:rsidP="00ED247F">
      <w:pPr>
        <w:spacing w:after="0" w:line="240" w:lineRule="auto"/>
        <w:jc w:val="both"/>
        <w:rPr>
          <w:rFonts w:ascii="Arial" w:eastAsia="Times New Roman" w:hAnsi="Arial" w:cs="Arial"/>
          <w:b/>
          <w:lang w:eastAsia="es-CO"/>
        </w:rPr>
      </w:pPr>
    </w:p>
    <w:p w14:paraId="3294E3AB" w14:textId="77777777" w:rsidR="00494AAD" w:rsidRDefault="00494AAD" w:rsidP="00ED247F">
      <w:pPr>
        <w:spacing w:after="0" w:line="240" w:lineRule="auto"/>
        <w:jc w:val="both"/>
        <w:rPr>
          <w:rFonts w:ascii="Arial" w:eastAsia="Times New Roman" w:hAnsi="Arial" w:cs="Arial"/>
          <w:b/>
          <w:lang w:eastAsia="es-CO"/>
        </w:rPr>
      </w:pPr>
    </w:p>
    <w:p w14:paraId="0EEC1B22" w14:textId="77777777" w:rsidR="00167AA0" w:rsidRPr="0061758E" w:rsidRDefault="00167AA0" w:rsidP="00ED247F">
      <w:pPr>
        <w:spacing w:after="0" w:line="240" w:lineRule="auto"/>
        <w:jc w:val="both"/>
        <w:rPr>
          <w:rFonts w:ascii="Arial" w:eastAsia="Times New Roman" w:hAnsi="Arial" w:cs="Arial"/>
          <w:b/>
          <w:lang w:eastAsia="es-CO"/>
        </w:rPr>
      </w:pPr>
    </w:p>
    <w:p w14:paraId="09326F79" w14:textId="77777777" w:rsidR="00ED247F" w:rsidRPr="0061758E" w:rsidRDefault="00ED247F" w:rsidP="00ED247F">
      <w:pPr>
        <w:spacing w:after="0" w:line="240" w:lineRule="auto"/>
        <w:jc w:val="both"/>
        <w:rPr>
          <w:rFonts w:ascii="Arial" w:eastAsia="Times New Roman" w:hAnsi="Arial" w:cs="Arial"/>
          <w:b/>
          <w:lang w:eastAsia="es-CO"/>
        </w:rPr>
      </w:pPr>
    </w:p>
    <w:p w14:paraId="5BD887A4" w14:textId="7F93A870" w:rsidR="00DF170E" w:rsidRPr="0061758E" w:rsidRDefault="00494AAD" w:rsidP="00DF170E">
      <w:pPr>
        <w:spacing w:after="0" w:line="240" w:lineRule="auto"/>
        <w:jc w:val="both"/>
        <w:rPr>
          <w:rFonts w:ascii="Arial" w:eastAsia="Times New Roman" w:hAnsi="Arial" w:cs="Arial"/>
          <w:b/>
          <w:lang w:eastAsia="es-CO"/>
        </w:rPr>
      </w:pPr>
      <w:r w:rsidRPr="0061758E">
        <w:rPr>
          <w:rFonts w:ascii="Arial" w:eastAsia="Times New Roman" w:hAnsi="Arial" w:cs="Arial"/>
          <w:b/>
          <w:lang w:eastAsia="es-CO"/>
        </w:rPr>
        <w:tab/>
      </w:r>
      <w:r w:rsidRPr="0061758E">
        <w:rPr>
          <w:rFonts w:ascii="Arial" w:eastAsia="Times New Roman" w:hAnsi="Arial" w:cs="Arial"/>
          <w:b/>
          <w:lang w:eastAsia="es-CO"/>
        </w:rPr>
        <w:tab/>
      </w:r>
      <w:r w:rsidRPr="0061758E">
        <w:rPr>
          <w:rFonts w:ascii="Arial" w:eastAsia="Times New Roman" w:hAnsi="Arial" w:cs="Arial"/>
          <w:b/>
          <w:lang w:eastAsia="es-CO"/>
        </w:rPr>
        <w:tab/>
      </w:r>
      <w:r w:rsidRPr="0061758E">
        <w:rPr>
          <w:rFonts w:ascii="Arial" w:eastAsia="Times New Roman" w:hAnsi="Arial" w:cs="Arial"/>
          <w:b/>
          <w:lang w:eastAsia="es-CO"/>
        </w:rPr>
        <w:tab/>
        <w:t xml:space="preserve">   </w:t>
      </w:r>
      <w:r w:rsidR="00DF170E" w:rsidRPr="0061758E">
        <w:rPr>
          <w:rFonts w:ascii="Arial" w:eastAsia="Times New Roman" w:hAnsi="Arial" w:cs="Arial"/>
          <w:b/>
          <w:lang w:eastAsia="es-CO"/>
        </w:rPr>
        <w:t>AMPARO Y. CALDERON PERDOMO</w:t>
      </w:r>
    </w:p>
    <w:p w14:paraId="588C3E94" w14:textId="3D7C4D10" w:rsidR="00BF34E3" w:rsidRPr="0061758E" w:rsidRDefault="00DF170E" w:rsidP="00494AAD">
      <w:pPr>
        <w:tabs>
          <w:tab w:val="center" w:pos="4419"/>
        </w:tabs>
        <w:spacing w:after="0" w:line="240" w:lineRule="auto"/>
        <w:jc w:val="both"/>
        <w:rPr>
          <w:rFonts w:ascii="Arial" w:eastAsia="Times New Roman" w:hAnsi="Arial" w:cs="Arial"/>
          <w:lang w:eastAsia="es-CO"/>
        </w:rPr>
      </w:pPr>
      <w:r w:rsidRPr="0061758E">
        <w:rPr>
          <w:rFonts w:ascii="Arial" w:eastAsia="Times New Roman" w:hAnsi="Arial" w:cs="Arial"/>
          <w:lang w:eastAsia="es-CO"/>
        </w:rPr>
        <w:tab/>
        <w:t xml:space="preserve">         Secretaria</w:t>
      </w:r>
    </w:p>
    <w:sectPr w:rsidR="00BF34E3" w:rsidRPr="0061758E" w:rsidSect="0046125C">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48BA4" w14:textId="77777777" w:rsidR="004520A7" w:rsidRDefault="004520A7" w:rsidP="00F464B3">
      <w:pPr>
        <w:spacing w:after="0" w:line="240" w:lineRule="auto"/>
      </w:pPr>
      <w:r>
        <w:separator/>
      </w:r>
    </w:p>
  </w:endnote>
  <w:endnote w:type="continuationSeparator" w:id="0">
    <w:p w14:paraId="4763DD02" w14:textId="77777777" w:rsidR="004520A7" w:rsidRDefault="004520A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Content>
      <w:p w14:paraId="4A713037" w14:textId="68F85927" w:rsidR="00BB3C7B" w:rsidRDefault="00BB3C7B">
        <w:pPr>
          <w:pStyle w:val="Piedepgina"/>
          <w:jc w:val="right"/>
        </w:pPr>
        <w:r>
          <w:fldChar w:fldCharType="begin"/>
        </w:r>
        <w:r>
          <w:instrText>PAGE   \* MERGEFORMAT</w:instrText>
        </w:r>
        <w:r>
          <w:fldChar w:fldCharType="separate"/>
        </w:r>
        <w:r w:rsidRPr="00BB3C7B">
          <w:rPr>
            <w:noProof/>
            <w:lang w:val="es-ES"/>
          </w:rPr>
          <w:t>7</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7BD93" w14:textId="77777777" w:rsidR="004520A7" w:rsidRDefault="004520A7" w:rsidP="00F464B3">
      <w:pPr>
        <w:spacing w:after="0" w:line="240" w:lineRule="auto"/>
      </w:pPr>
      <w:r>
        <w:separator/>
      </w:r>
    </w:p>
  </w:footnote>
  <w:footnote w:type="continuationSeparator" w:id="0">
    <w:p w14:paraId="45292023" w14:textId="77777777" w:rsidR="004520A7" w:rsidRDefault="004520A7"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8">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1"/>
  </w:num>
  <w:num w:numId="3">
    <w:abstractNumId w:val="33"/>
  </w:num>
  <w:num w:numId="4">
    <w:abstractNumId w:val="21"/>
  </w:num>
  <w:num w:numId="5">
    <w:abstractNumId w:val="28"/>
  </w:num>
  <w:num w:numId="6">
    <w:abstractNumId w:val="38"/>
  </w:num>
  <w:num w:numId="7">
    <w:abstractNumId w:val="53"/>
  </w:num>
  <w:num w:numId="8">
    <w:abstractNumId w:val="5"/>
  </w:num>
  <w:num w:numId="9">
    <w:abstractNumId w:val="8"/>
  </w:num>
  <w:num w:numId="10">
    <w:abstractNumId w:val="35"/>
  </w:num>
  <w:num w:numId="11">
    <w:abstractNumId w:val="40"/>
  </w:num>
  <w:num w:numId="12">
    <w:abstractNumId w:val="42"/>
  </w:num>
  <w:num w:numId="13">
    <w:abstractNumId w:val="39"/>
  </w:num>
  <w:num w:numId="14">
    <w:abstractNumId w:val="48"/>
  </w:num>
  <w:num w:numId="15">
    <w:abstractNumId w:val="36"/>
  </w:num>
  <w:num w:numId="16">
    <w:abstractNumId w:val="11"/>
  </w:num>
  <w:num w:numId="17">
    <w:abstractNumId w:val="7"/>
  </w:num>
  <w:num w:numId="18">
    <w:abstractNumId w:val="15"/>
  </w:num>
  <w:num w:numId="19">
    <w:abstractNumId w:val="16"/>
  </w:num>
  <w:num w:numId="20">
    <w:abstractNumId w:val="49"/>
  </w:num>
  <w:num w:numId="21">
    <w:abstractNumId w:val="25"/>
  </w:num>
  <w:num w:numId="22">
    <w:abstractNumId w:val="54"/>
  </w:num>
  <w:num w:numId="23">
    <w:abstractNumId w:val="20"/>
  </w:num>
  <w:num w:numId="24">
    <w:abstractNumId w:val="4"/>
  </w:num>
  <w:num w:numId="25">
    <w:abstractNumId w:val="2"/>
  </w:num>
  <w:num w:numId="26">
    <w:abstractNumId w:val="19"/>
  </w:num>
  <w:num w:numId="27">
    <w:abstractNumId w:val="45"/>
  </w:num>
  <w:num w:numId="28">
    <w:abstractNumId w:val="17"/>
  </w:num>
  <w:num w:numId="29">
    <w:abstractNumId w:val="56"/>
  </w:num>
  <w:num w:numId="30">
    <w:abstractNumId w:val="55"/>
  </w:num>
  <w:num w:numId="31">
    <w:abstractNumId w:val="26"/>
  </w:num>
  <w:num w:numId="32">
    <w:abstractNumId w:val="44"/>
  </w:num>
  <w:num w:numId="33">
    <w:abstractNumId w:val="12"/>
  </w:num>
  <w:num w:numId="34">
    <w:abstractNumId w:val="13"/>
  </w:num>
  <w:num w:numId="35">
    <w:abstractNumId w:val="46"/>
  </w:num>
  <w:num w:numId="36">
    <w:abstractNumId w:val="47"/>
  </w:num>
  <w:num w:numId="37">
    <w:abstractNumId w:val="57"/>
  </w:num>
  <w:num w:numId="38">
    <w:abstractNumId w:val="14"/>
  </w:num>
  <w:num w:numId="39">
    <w:abstractNumId w:val="22"/>
  </w:num>
  <w:num w:numId="40">
    <w:abstractNumId w:val="24"/>
  </w:num>
  <w:num w:numId="41">
    <w:abstractNumId w:val="29"/>
  </w:num>
  <w:num w:numId="42">
    <w:abstractNumId w:val="41"/>
  </w:num>
  <w:num w:numId="43">
    <w:abstractNumId w:val="32"/>
  </w:num>
  <w:num w:numId="44">
    <w:abstractNumId w:val="18"/>
  </w:num>
  <w:num w:numId="45">
    <w:abstractNumId w:val="23"/>
  </w:num>
  <w:num w:numId="46">
    <w:abstractNumId w:val="51"/>
  </w:num>
  <w:num w:numId="47">
    <w:abstractNumId w:val="10"/>
  </w:num>
  <w:num w:numId="48">
    <w:abstractNumId w:val="0"/>
  </w:num>
  <w:num w:numId="49">
    <w:abstractNumId w:val="3"/>
  </w:num>
  <w:num w:numId="50">
    <w:abstractNumId w:val="1"/>
  </w:num>
  <w:num w:numId="51">
    <w:abstractNumId w:val="9"/>
  </w:num>
  <w:num w:numId="52">
    <w:abstractNumId w:val="37"/>
  </w:num>
  <w:num w:numId="53">
    <w:abstractNumId w:val="6"/>
  </w:num>
  <w:num w:numId="54">
    <w:abstractNumId w:val="27"/>
  </w:num>
  <w:num w:numId="55">
    <w:abstractNumId w:val="43"/>
  </w:num>
  <w:num w:numId="56">
    <w:abstractNumId w:val="50"/>
  </w:num>
  <w:num w:numId="57">
    <w:abstractNumId w:val="3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6A70"/>
    <w:rsid w:val="00217602"/>
    <w:rsid w:val="002239AB"/>
    <w:rsid w:val="00232EEB"/>
    <w:rsid w:val="00237BCB"/>
    <w:rsid w:val="002419BE"/>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E7C"/>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5426"/>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32FC"/>
    <w:rsid w:val="004C59FD"/>
    <w:rsid w:val="004D48F0"/>
    <w:rsid w:val="004D55BD"/>
    <w:rsid w:val="004E422C"/>
    <w:rsid w:val="004F05FE"/>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685F"/>
    <w:rsid w:val="005C7D3E"/>
    <w:rsid w:val="005D2F81"/>
    <w:rsid w:val="005D314D"/>
    <w:rsid w:val="005D3C35"/>
    <w:rsid w:val="005E4DAD"/>
    <w:rsid w:val="005F3B9E"/>
    <w:rsid w:val="005F5FEC"/>
    <w:rsid w:val="00601F0E"/>
    <w:rsid w:val="00602BDE"/>
    <w:rsid w:val="00607725"/>
    <w:rsid w:val="006158AE"/>
    <w:rsid w:val="0061758E"/>
    <w:rsid w:val="00620F0B"/>
    <w:rsid w:val="0062133F"/>
    <w:rsid w:val="006228CF"/>
    <w:rsid w:val="00622AB2"/>
    <w:rsid w:val="006343BF"/>
    <w:rsid w:val="00637688"/>
    <w:rsid w:val="006417DE"/>
    <w:rsid w:val="00642EF5"/>
    <w:rsid w:val="006438E1"/>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2CAA"/>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70C6"/>
    <w:rsid w:val="00A574C3"/>
    <w:rsid w:val="00A60A12"/>
    <w:rsid w:val="00A63F97"/>
    <w:rsid w:val="00A658BE"/>
    <w:rsid w:val="00A66215"/>
    <w:rsid w:val="00A67478"/>
    <w:rsid w:val="00A7214F"/>
    <w:rsid w:val="00A75565"/>
    <w:rsid w:val="00A80428"/>
    <w:rsid w:val="00A83DAE"/>
    <w:rsid w:val="00A858EE"/>
    <w:rsid w:val="00A92EFE"/>
    <w:rsid w:val="00AA3DC5"/>
    <w:rsid w:val="00AB0713"/>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4FFD"/>
    <w:rsid w:val="00E325C3"/>
    <w:rsid w:val="00E34C58"/>
    <w:rsid w:val="00E359F6"/>
    <w:rsid w:val="00E4558F"/>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B799-4C8B-4A8A-AA7C-093FF8D7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2958</Words>
  <Characters>16271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14</cp:revision>
  <cp:lastPrinted>2021-11-30T20:47:00Z</cp:lastPrinted>
  <dcterms:created xsi:type="dcterms:W3CDTF">2021-11-30T20:12:00Z</dcterms:created>
  <dcterms:modified xsi:type="dcterms:W3CDTF">2021-11-30T20:48:00Z</dcterms:modified>
</cp:coreProperties>
</file>